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75" w:rsidRPr="00D32895" w:rsidRDefault="00D32895" w:rsidP="00FC2115">
      <w:pPr>
        <w:pStyle w:val="22"/>
        <w:spacing w:line="280" w:lineRule="exact"/>
        <w:ind w:right="0"/>
        <w:jc w:val="both"/>
        <w:rPr>
          <w:b/>
          <w:bCs/>
          <w:sz w:val="30"/>
          <w:szCs w:val="30"/>
        </w:rPr>
      </w:pPr>
      <w:r>
        <w:rPr>
          <w:b/>
          <w:sz w:val="30"/>
          <w:szCs w:val="30"/>
        </w:rPr>
        <w:t xml:space="preserve">3. </w:t>
      </w:r>
      <w:r w:rsidR="00FC2115" w:rsidRPr="00D32895">
        <w:rPr>
          <w:b/>
          <w:sz w:val="30"/>
          <w:szCs w:val="30"/>
        </w:rPr>
        <w:t>Противодействие терроризму и экстремизму</w:t>
      </w:r>
    </w:p>
    <w:p w:rsidR="00EC0775" w:rsidRPr="005819F9" w:rsidRDefault="00EC0775" w:rsidP="000A742F">
      <w:pPr>
        <w:pStyle w:val="22"/>
        <w:spacing w:line="280" w:lineRule="exact"/>
        <w:ind w:right="0"/>
        <w:jc w:val="right"/>
        <w:rPr>
          <w:bCs/>
          <w:i/>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виде</w:t>
      </w:r>
      <w:proofErr w:type="gramStart"/>
      <w:r w:rsidRPr="005819F9">
        <w:rPr>
          <w:sz w:val="30"/>
          <w:szCs w:val="30"/>
        </w:rPr>
        <w:t>о-</w:t>
      </w:r>
      <w:proofErr w:type="gramEnd"/>
      <w:r w:rsidRPr="005819F9">
        <w:rPr>
          <w:sz w:val="30"/>
          <w:szCs w:val="30"/>
        </w:rPr>
        <w:t xml:space="preserve">  и фотосъемка определенного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наблюдение (в том числе с применением технических средств </w:t>
      </w:r>
      <w:r>
        <w:rPr>
          <w:sz w:val="30"/>
          <w:szCs w:val="30"/>
        </w:rPr>
        <w:t>–</w:t>
      </w:r>
      <w:r w:rsidRPr="005819F9">
        <w:rPr>
          <w:sz w:val="30"/>
          <w:szCs w:val="30"/>
        </w:rPr>
        <w:t xml:space="preserve"> </w:t>
      </w:r>
      <w:r w:rsidRPr="005819F9">
        <w:rPr>
          <w:sz w:val="30"/>
          <w:szCs w:val="30"/>
        </w:rPr>
        <w:lastRenderedPageBreak/>
        <w:t xml:space="preserve">биноклей, телескопов);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составление схем объекта и путей подхода к нему;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поиск возможности приобретения, закупка или наличие взрывчатых веществ (их компонентов), сре</w:t>
      </w:r>
      <w:proofErr w:type="gramStart"/>
      <w:r w:rsidRPr="005819F9">
        <w:rPr>
          <w:sz w:val="30"/>
          <w:szCs w:val="30"/>
        </w:rPr>
        <w:t>дств взр</w:t>
      </w:r>
      <w:proofErr w:type="gramEnd"/>
      <w:r w:rsidRPr="005819F9">
        <w:rPr>
          <w:sz w:val="30"/>
          <w:szCs w:val="30"/>
        </w:rPr>
        <w:t>ывания, которые могут использоваться при изготовлении самодельных взрывных устройств (СВУ), а также штатных боеприпасов, включая артил</w:t>
      </w:r>
      <w:bookmarkStart w:id="0" w:name="_GoBack"/>
      <w:bookmarkEnd w:id="0"/>
      <w:r w:rsidRPr="005819F9">
        <w:rPr>
          <w:sz w:val="30"/>
          <w:szCs w:val="30"/>
        </w:rPr>
        <w:t xml:space="preserve">лерийские, и оружия;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w:t>
      </w:r>
      <w:proofErr w:type="spellStart"/>
      <w:r w:rsidRPr="005819F9">
        <w:rPr>
          <w:sz w:val="30"/>
          <w:szCs w:val="30"/>
        </w:rPr>
        <w:t>слабомотивированный</w:t>
      </w:r>
      <w:proofErr w:type="spellEnd"/>
      <w:r w:rsidRPr="005819F9">
        <w:rPr>
          <w:sz w:val="30"/>
          <w:szCs w:val="30"/>
        </w:rPr>
        <w:t xml:space="preserve"> интерес к определенным аспектам в деятельности объекта возможного проведения террористической акции;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5819F9" w:rsidRPr="005819F9" w:rsidRDefault="005819F9" w:rsidP="005819F9">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rsidR="005819F9" w:rsidRDefault="005819F9" w:rsidP="005819F9">
      <w:pPr>
        <w:pStyle w:val="110"/>
        <w:widowControl w:val="0"/>
        <w:shd w:val="clear" w:color="auto" w:fill="FFFFFF"/>
        <w:tabs>
          <w:tab w:val="left" w:pos="1276"/>
        </w:tabs>
        <w:ind w:firstLine="709"/>
        <w:jc w:val="center"/>
        <w:rPr>
          <w:b/>
          <w:bCs/>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EC0775" w:rsidRPr="005544CE" w:rsidRDefault="005819F9" w:rsidP="00FC2115">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sectPr w:rsidR="00EC0775" w:rsidRPr="005544CE" w:rsidSect="006A628C">
      <w:headerReference w:type="default" r:id="rId9"/>
      <w:pgSz w:w="11906" w:h="16838"/>
      <w:pgMar w:top="1134" w:right="850" w:bottom="993" w:left="1701" w:header="510"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3F" w:rsidRDefault="00851D3F" w:rsidP="003C3604">
      <w:pPr>
        <w:spacing w:after="0" w:line="240" w:lineRule="auto"/>
      </w:pPr>
      <w:r>
        <w:separator/>
      </w:r>
    </w:p>
  </w:endnote>
  <w:endnote w:type="continuationSeparator" w:id="0">
    <w:p w:rsidR="00851D3F" w:rsidRDefault="00851D3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3F" w:rsidRDefault="00851D3F" w:rsidP="003C3604">
      <w:pPr>
        <w:spacing w:after="0" w:line="240" w:lineRule="auto"/>
      </w:pPr>
      <w:r>
        <w:separator/>
      </w:r>
    </w:p>
  </w:footnote>
  <w:footnote w:type="continuationSeparator" w:id="0">
    <w:p w:rsidR="00851D3F" w:rsidRDefault="00851D3F"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A628C">
      <w:rPr>
        <w:rFonts w:ascii="Times New Roman" w:hAnsi="Times New Roman"/>
        <w:noProof/>
        <w:sz w:val="24"/>
        <w:szCs w:val="24"/>
      </w:rPr>
      <w:t>24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1pt;height:9.1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15A"/>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0759D"/>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28C"/>
    <w:rsid w:val="006A681E"/>
    <w:rsid w:val="006A7683"/>
    <w:rsid w:val="006B0DE6"/>
    <w:rsid w:val="006B53E7"/>
    <w:rsid w:val="006B7590"/>
    <w:rsid w:val="006C0F26"/>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96C85"/>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D3F"/>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05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895"/>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115"/>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ED7E-4C3C-4483-846F-6FACC6F1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5</cp:revision>
  <cp:lastPrinted>2023-04-18T05:46:00Z</cp:lastPrinted>
  <dcterms:created xsi:type="dcterms:W3CDTF">2023-04-17T11:50:00Z</dcterms:created>
  <dcterms:modified xsi:type="dcterms:W3CDTF">2023-04-18T06:05:00Z</dcterms:modified>
</cp:coreProperties>
</file>