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3A" w:rsidRDefault="00B3231A" w:rsidP="00B92690">
      <w:pPr>
        <w:pageBreakBefore/>
        <w:autoSpaceDE w:val="0"/>
        <w:autoSpaceDN w:val="0"/>
        <w:adjustRightInd w:val="0"/>
        <w:spacing w:after="0" w:line="240" w:lineRule="auto"/>
        <w:jc w:val="center"/>
        <w:rPr>
          <w:rFonts w:ascii="Times New Roman" w:hAnsi="Times New Roman"/>
          <w:b/>
          <w:sz w:val="30"/>
          <w:szCs w:val="30"/>
        </w:rPr>
      </w:pPr>
      <w:bookmarkStart w:id="0" w:name="_GoBack"/>
      <w:bookmarkEnd w:id="0"/>
      <w:r>
        <w:rPr>
          <w:rFonts w:ascii="Times New Roman" w:hAnsi="Times New Roman"/>
          <w:b/>
          <w:sz w:val="30"/>
          <w:szCs w:val="30"/>
        </w:rPr>
        <w:t xml:space="preserve">2. </w:t>
      </w:r>
      <w:r w:rsidR="00C80D3A" w:rsidRPr="00C80D3A">
        <w:rPr>
          <w:rFonts w:ascii="Times New Roman" w:hAnsi="Times New Roman"/>
          <w:b/>
          <w:sz w:val="30"/>
          <w:szCs w:val="30"/>
        </w:rPr>
        <w:t>ИЗМЕНЕНИЯ В ЗАКОНЕ О БОРЬБЕ С КОРРУПЦИЕЙ</w:t>
      </w:r>
      <w:r w:rsidR="00C80D3A">
        <w:rPr>
          <w:rFonts w:ascii="Times New Roman" w:hAnsi="Times New Roman"/>
          <w:b/>
          <w:sz w:val="30"/>
          <w:szCs w:val="30"/>
        </w:rPr>
        <w:t xml:space="preserve"> </w:t>
      </w:r>
    </w:p>
    <w:p w:rsidR="00C80D3A" w:rsidRPr="00E74359" w:rsidRDefault="00C80D3A" w:rsidP="00C80D3A">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sidR="00B92690">
        <w:rPr>
          <w:rFonts w:ascii="Times New Roman" w:hAnsi="Times New Roman"/>
          <w:b/>
          <w:sz w:val="30"/>
          <w:szCs w:val="30"/>
        </w:rPr>
        <w:t xml:space="preserve">                     </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Об изменении законов по вопросам борьбы с коррупцией</w:t>
      </w:r>
      <w:r>
        <w:rPr>
          <w:rFonts w:ascii="Times New Roman" w:hAnsi="Times New Roman"/>
          <w:b/>
          <w:sz w:val="30"/>
          <w:szCs w:val="30"/>
        </w:rPr>
        <w:t>»)</w:t>
      </w:r>
    </w:p>
    <w:p w:rsidR="000D5F84" w:rsidRDefault="000D5F84" w:rsidP="000D5F84">
      <w:pPr>
        <w:pStyle w:val="22"/>
        <w:spacing w:line="280" w:lineRule="exact"/>
        <w:jc w:val="right"/>
        <w:rPr>
          <w:bCs/>
          <w:i/>
          <w:sz w:val="30"/>
          <w:szCs w:val="30"/>
        </w:rPr>
      </w:pP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sidR="00456E5D">
        <w:rPr>
          <w:rFonts w:ascii="Times New Roman" w:hAnsi="Times New Roman"/>
          <w:sz w:val="30"/>
          <w:szCs w:val="30"/>
        </w:rPr>
        <w:t>№</w:t>
      </w:r>
      <w:r w:rsidRPr="00C80D3A">
        <w:rPr>
          <w:rFonts w:ascii="Times New Roman" w:hAnsi="Times New Roman"/>
          <w:sz w:val="30"/>
          <w:szCs w:val="30"/>
        </w:rPr>
        <w:t xml:space="preserve"> 232-З </w:t>
      </w:r>
      <w:r w:rsidR="00456E5D">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w:t>
      </w:r>
      <w:r w:rsidR="00456E5D">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sidR="00456E5D">
        <w:rPr>
          <w:rFonts w:ascii="Times New Roman" w:hAnsi="Times New Roman"/>
          <w:sz w:val="30"/>
          <w:szCs w:val="30"/>
        </w:rPr>
        <w:t>№</w:t>
      </w:r>
      <w:r w:rsidRPr="00C80D3A">
        <w:rPr>
          <w:rFonts w:ascii="Times New Roman" w:hAnsi="Times New Roman"/>
          <w:sz w:val="30"/>
          <w:szCs w:val="30"/>
        </w:rPr>
        <w:t xml:space="preserve"> 305-З </w:t>
      </w:r>
      <w:r w:rsidR="00456E5D">
        <w:rPr>
          <w:rFonts w:ascii="Times New Roman" w:hAnsi="Times New Roman"/>
          <w:sz w:val="30"/>
          <w:szCs w:val="30"/>
        </w:rPr>
        <w:t>«</w:t>
      </w:r>
      <w:r w:rsidRPr="00C80D3A">
        <w:rPr>
          <w:rFonts w:ascii="Times New Roman" w:hAnsi="Times New Roman"/>
          <w:sz w:val="30"/>
          <w:szCs w:val="30"/>
        </w:rPr>
        <w:t>О борьбе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N 305-З).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sidR="00456E5D">
        <w:rPr>
          <w:rFonts w:ascii="Times New Roman" w:hAnsi="Times New Roman"/>
          <w:sz w:val="30"/>
          <w:szCs w:val="30"/>
        </w:rPr>
        <w:t xml:space="preserve">№ </w:t>
      </w:r>
      <w:r w:rsidRPr="00C80D3A">
        <w:rPr>
          <w:rFonts w:ascii="Times New Roman" w:hAnsi="Times New Roman"/>
          <w:sz w:val="30"/>
          <w:szCs w:val="30"/>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sidR="00456E5D">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w:t>
      </w:r>
      <w:r w:rsidR="00456E5D">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C80D3A" w:rsidRPr="00C80D3A" w:rsidRDefault="00C80D3A" w:rsidP="00456E5D">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sidR="00456E5D">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sidR="00456E5D">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sidR="00456E5D">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sidR="00456E5D">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sidR="00456E5D">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(абз. 11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 </w:t>
      </w:r>
      <w:r w:rsidR="00456E5D">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(абз. 12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sidR="00456E5D">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(абз. 13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sidR="00456E5D">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sidR="00456E5D">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исключено из Закона </w:t>
      </w:r>
      <w:r w:rsidR="00456E5D">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sidR="00456E5D">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sidR="00456E5D">
        <w:rPr>
          <w:rFonts w:ascii="Times New Roman" w:hAnsi="Times New Roman"/>
          <w:sz w:val="30"/>
          <w:szCs w:val="30"/>
        </w:rPr>
        <w:t>»</w:t>
      </w:r>
      <w:r w:rsidRPr="00C80D3A">
        <w:rPr>
          <w:rFonts w:ascii="Times New Roman" w:hAnsi="Times New Roman"/>
          <w:sz w:val="30"/>
          <w:szCs w:val="30"/>
        </w:rPr>
        <w:t xml:space="preserve"> (абз. 14, 15 п. 1 ст. 4 Закона </w:t>
      </w:r>
      <w:r w:rsidR="00456E5D">
        <w:rPr>
          <w:rFonts w:ascii="Times New Roman" w:hAnsi="Times New Roman"/>
          <w:sz w:val="30"/>
          <w:szCs w:val="30"/>
        </w:rPr>
        <w:t>№</w:t>
      </w:r>
      <w:r w:rsidRPr="00C80D3A">
        <w:rPr>
          <w:rFonts w:ascii="Times New Roman" w:hAnsi="Times New Roman"/>
          <w:sz w:val="30"/>
          <w:szCs w:val="30"/>
        </w:rPr>
        <w:t xml:space="preserve"> 232-З), одновременно при этом установлена предельно допустимая </w:t>
      </w:r>
      <w:r w:rsidRPr="00C80D3A">
        <w:rPr>
          <w:rFonts w:ascii="Times New Roman" w:hAnsi="Times New Roman"/>
          <w:sz w:val="30"/>
          <w:szCs w:val="30"/>
        </w:rPr>
        <w:lastRenderedPageBreak/>
        <w:t xml:space="preserve">стоимость такого подарка в размере, не превышающем 20 </w:t>
      </w:r>
      <w:r w:rsidR="00456E5D">
        <w:rPr>
          <w:rFonts w:ascii="Times New Roman" w:hAnsi="Times New Roman"/>
          <w:sz w:val="30"/>
          <w:szCs w:val="30"/>
        </w:rPr>
        <w:t>базовых величин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Закон </w:t>
      </w:r>
      <w:r w:rsidR="00456E5D">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Pr>
          <w:rFonts w:ascii="Times New Roman" w:hAnsi="Times New Roman"/>
          <w:sz w:val="30"/>
          <w:szCs w:val="30"/>
        </w:rPr>
        <w:t>№</w:t>
      </w:r>
      <w:r w:rsidRPr="00C80D3A">
        <w:rPr>
          <w:rFonts w:ascii="Times New Roman" w:hAnsi="Times New Roman"/>
          <w:sz w:val="30"/>
          <w:szCs w:val="30"/>
        </w:rPr>
        <w:t xml:space="preserve"> 305-З (абз. 5 п. 9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этой связи не являются нарушениями (абз. 16 - 19 п. 9 ст. 4 Закона </w:t>
      </w:r>
      <w:r w:rsidR="00456E5D">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sidR="00456E5D">
        <w:rPr>
          <w:rFonts w:ascii="Times New Roman" w:hAnsi="Times New Roman"/>
          <w:sz w:val="30"/>
          <w:szCs w:val="30"/>
        </w:rPr>
        <w:t>ета М</w:t>
      </w:r>
      <w:r w:rsidRPr="00C80D3A">
        <w:rPr>
          <w:rFonts w:ascii="Times New Roman" w:hAnsi="Times New Roman"/>
          <w:sz w:val="30"/>
          <w:szCs w:val="30"/>
        </w:rPr>
        <w:t>ин</w:t>
      </w:r>
      <w:r w:rsidR="00456E5D">
        <w:rPr>
          <w:rFonts w:ascii="Times New Roman" w:hAnsi="Times New Roman"/>
          <w:sz w:val="30"/>
          <w:szCs w:val="30"/>
        </w:rPr>
        <w:t>истров Республики Беларусь</w:t>
      </w:r>
      <w:r w:rsidR="00830B7B">
        <w:rPr>
          <w:rFonts w:ascii="Times New Roman" w:hAnsi="Times New Roman"/>
          <w:sz w:val="30"/>
          <w:szCs w:val="30"/>
        </w:rPr>
        <w:t xml:space="preserve"> (далее – Совмин)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sidR="00456E5D">
        <w:rPr>
          <w:rFonts w:ascii="Times New Roman" w:hAnsi="Times New Roman"/>
          <w:sz w:val="30"/>
          <w:szCs w:val="30"/>
        </w:rPr>
        <w:t>№</w:t>
      </w:r>
      <w:r w:rsidRPr="00C80D3A">
        <w:rPr>
          <w:rFonts w:ascii="Times New Roman" w:hAnsi="Times New Roman"/>
          <w:sz w:val="30"/>
          <w:szCs w:val="30"/>
        </w:rPr>
        <w:t xml:space="preserve"> 6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 xml:space="preserve"> определяет: </w:t>
      </w:r>
      <w:r w:rsidR="00456E5D">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Pr>
          <w:rFonts w:ascii="Times New Roman" w:hAnsi="Times New Roman"/>
          <w:sz w:val="30"/>
          <w:szCs w:val="30"/>
        </w:rPr>
        <w:t>»</w:t>
      </w:r>
      <w:r w:rsidRPr="00C80D3A">
        <w:rPr>
          <w:rFonts w:ascii="Times New Roman" w:hAnsi="Times New Roman"/>
          <w:sz w:val="30"/>
          <w:szCs w:val="30"/>
        </w:rPr>
        <w:t>. Однако</w:t>
      </w:r>
      <w:r w:rsidR="00E91681">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Важно отметить, что Закон </w:t>
      </w:r>
      <w:r w:rsidR="00E91681">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sidR="00E91681">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(абз. 14 п. 1 ст. 4 Закона </w:t>
      </w:r>
      <w:r w:rsidR="00E91681">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sidR="00E91681">
        <w:rPr>
          <w:rFonts w:ascii="Times New Roman" w:hAnsi="Times New Roman"/>
          <w:sz w:val="30"/>
          <w:szCs w:val="30"/>
        </w:rPr>
        <w:t>–</w:t>
      </w:r>
      <w:r w:rsidRPr="00C80D3A">
        <w:rPr>
          <w:rFonts w:ascii="Times New Roman" w:hAnsi="Times New Roman"/>
          <w:sz w:val="30"/>
          <w:szCs w:val="30"/>
        </w:rPr>
        <w:t xml:space="preserve"> </w:t>
      </w:r>
      <w:r w:rsidR="00830B7B">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(абз. 15</w:t>
      </w:r>
      <w:r w:rsidR="00830B7B">
        <w:rPr>
          <w:rFonts w:ascii="Times New Roman" w:hAnsi="Times New Roman"/>
          <w:sz w:val="30"/>
          <w:szCs w:val="30"/>
        </w:rPr>
        <w:t xml:space="preserve">              </w:t>
      </w:r>
      <w:r w:rsidRPr="00C80D3A">
        <w:rPr>
          <w:rFonts w:ascii="Times New Roman" w:hAnsi="Times New Roman"/>
          <w:sz w:val="30"/>
          <w:szCs w:val="30"/>
        </w:rPr>
        <w:t xml:space="preserve"> п. 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(абз. 20 </w:t>
      </w:r>
      <w:r w:rsidR="00830B7B">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Pr>
          <w:rFonts w:ascii="Times New Roman" w:hAnsi="Times New Roman"/>
          <w:sz w:val="30"/>
          <w:szCs w:val="30"/>
        </w:rPr>
        <w:t>№</w:t>
      </w:r>
      <w:r w:rsidRPr="00C80D3A">
        <w:rPr>
          <w:rFonts w:ascii="Times New Roman" w:hAnsi="Times New Roman"/>
          <w:sz w:val="30"/>
          <w:szCs w:val="30"/>
        </w:rPr>
        <w:t xml:space="preserve"> 45.</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Pr>
          <w:rFonts w:ascii="Times New Roman" w:hAnsi="Times New Roman"/>
          <w:sz w:val="30"/>
          <w:szCs w:val="30"/>
        </w:rPr>
        <w:t>№</w:t>
      </w:r>
      <w:r w:rsidRPr="00C80D3A">
        <w:rPr>
          <w:rFonts w:ascii="Times New Roman" w:hAnsi="Times New Roman"/>
          <w:sz w:val="30"/>
          <w:szCs w:val="30"/>
        </w:rPr>
        <w:t xml:space="preserve"> 305-З (абз. 2 </w:t>
      </w:r>
      <w:r w:rsidR="00830B7B">
        <w:rPr>
          <w:rFonts w:ascii="Times New Roman" w:hAnsi="Times New Roman"/>
          <w:sz w:val="30"/>
          <w:szCs w:val="30"/>
        </w:rPr>
        <w:t xml:space="preserve">    </w:t>
      </w:r>
      <w:r w:rsidRPr="00C80D3A">
        <w:rPr>
          <w:rFonts w:ascii="Times New Roman" w:hAnsi="Times New Roman"/>
          <w:sz w:val="30"/>
          <w:szCs w:val="30"/>
        </w:rPr>
        <w:t xml:space="preserve">п. 8 ст. 4 Закона </w:t>
      </w:r>
      <w:r w:rsidR="00830B7B">
        <w:rPr>
          <w:rFonts w:ascii="Times New Roman" w:hAnsi="Times New Roman"/>
          <w:sz w:val="30"/>
          <w:szCs w:val="30"/>
        </w:rPr>
        <w:t>№</w:t>
      </w:r>
      <w:r w:rsidRPr="00C80D3A">
        <w:rPr>
          <w:rFonts w:ascii="Times New Roman" w:hAnsi="Times New Roman"/>
          <w:sz w:val="30"/>
          <w:szCs w:val="30"/>
        </w:rPr>
        <w:t xml:space="preserve"> 232-З). Согласно абз. 12 ст. 1 Закона </w:t>
      </w:r>
      <w:r w:rsidR="00830B7B">
        <w:rPr>
          <w:rFonts w:ascii="Times New Roman" w:hAnsi="Times New Roman"/>
          <w:sz w:val="30"/>
          <w:szCs w:val="30"/>
        </w:rPr>
        <w:t>№</w:t>
      </w:r>
      <w:r w:rsidRPr="00C80D3A">
        <w:rPr>
          <w:rFonts w:ascii="Times New Roman" w:hAnsi="Times New Roman"/>
          <w:sz w:val="30"/>
          <w:szCs w:val="30"/>
        </w:rPr>
        <w:t xml:space="preserve"> 305-З конфликт интересов </w:t>
      </w:r>
      <w:r w:rsidR="00830B7B">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Pr>
          <w:rFonts w:ascii="Times New Roman" w:hAnsi="Times New Roman"/>
          <w:sz w:val="30"/>
          <w:szCs w:val="30"/>
        </w:rPr>
        <w:t>о</w:t>
      </w:r>
      <w:r w:rsidRPr="00C80D3A">
        <w:rPr>
          <w:rFonts w:ascii="Times New Roman" w:hAnsi="Times New Roman"/>
          <w:sz w:val="30"/>
          <w:szCs w:val="30"/>
        </w:rPr>
        <w:t xml:space="preserve">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(абз. 3 п. 31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(абз. 2 п. 1 ст. 3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w:t>
      </w:r>
      <w:r w:rsidRPr="00C80D3A">
        <w:rPr>
          <w:rFonts w:ascii="Times New Roman" w:hAnsi="Times New Roman"/>
          <w:sz w:val="30"/>
          <w:szCs w:val="30"/>
        </w:rPr>
        <w:lastRenderedPageBreak/>
        <w:t>(трудовых) обязанностей...</w:t>
      </w:r>
      <w:r w:rsidR="00830B7B">
        <w:rPr>
          <w:rFonts w:ascii="Times New Roman" w:hAnsi="Times New Roman"/>
          <w:sz w:val="30"/>
          <w:szCs w:val="30"/>
        </w:rPr>
        <w:t>»</w:t>
      </w:r>
      <w:r w:rsidRPr="00C80D3A">
        <w:rPr>
          <w:rFonts w:ascii="Times New Roman" w:hAnsi="Times New Roman"/>
          <w:sz w:val="30"/>
          <w:szCs w:val="30"/>
        </w:rPr>
        <w:t xml:space="preserve">. Одновременно с этим Совмину предоставляется право регламентировать порядок использования служебного имущества (абз. 7 п. 9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юрлица за нарушение требований законодательства о борьбе с коррупцией. Абзац 3 п. 28 ст. 4 Закона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w:t>
      </w:r>
      <w:r w:rsidR="00830B7B">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Pr>
          <w:rFonts w:ascii="Times New Roman" w:hAnsi="Times New Roman"/>
          <w:sz w:val="30"/>
          <w:szCs w:val="30"/>
        </w:rPr>
        <w:t xml:space="preserve">            №</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Pr>
          <w:rFonts w:ascii="Times New Roman" w:hAnsi="Times New Roman"/>
          <w:sz w:val="30"/>
          <w:szCs w:val="30"/>
        </w:rPr>
        <w:t>№</w:t>
      </w:r>
      <w:r w:rsidRPr="00C80D3A">
        <w:rPr>
          <w:rFonts w:ascii="Times New Roman" w:hAnsi="Times New Roman"/>
          <w:sz w:val="30"/>
          <w:szCs w:val="30"/>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w:t>
      </w:r>
      <w:r w:rsidRPr="00C80D3A">
        <w:rPr>
          <w:rFonts w:ascii="Times New Roman" w:hAnsi="Times New Roman"/>
          <w:sz w:val="30"/>
          <w:szCs w:val="30"/>
        </w:rPr>
        <w:lastRenderedPageBreak/>
        <w:t xml:space="preserve">совершения такого правонарушения. Общее же положение говорит о том, что </w:t>
      </w:r>
      <w:r w:rsidR="00830B7B">
        <w:rPr>
          <w:rFonts w:ascii="Times New Roman" w:hAnsi="Times New Roman"/>
          <w:sz w:val="30"/>
          <w:szCs w:val="30"/>
        </w:rPr>
        <w:t>«</w:t>
      </w:r>
      <w:r w:rsidRPr="00C80D3A">
        <w:rPr>
          <w:rFonts w:ascii="Times New Roman" w:hAnsi="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(абз. 8 п. 19 ст. 4 Закона </w:t>
      </w:r>
      <w:r w:rsidR="00830B7B">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Pr>
          <w:rFonts w:ascii="Times New Roman" w:hAnsi="Times New Roman"/>
          <w:sz w:val="30"/>
          <w:szCs w:val="30"/>
        </w:rPr>
        <w:t>№</w:t>
      </w:r>
      <w:r w:rsidRPr="00C80D3A">
        <w:rPr>
          <w:rFonts w:ascii="Times New Roman" w:hAnsi="Times New Roman"/>
          <w:sz w:val="30"/>
          <w:szCs w:val="30"/>
        </w:rPr>
        <w:t xml:space="preserve"> 232-З). К ним, в частности, относятся (абз. 3 </w:t>
      </w:r>
      <w:r w:rsidR="00830B7B">
        <w:rPr>
          <w:rFonts w:ascii="Times New Roman" w:hAnsi="Times New Roman"/>
          <w:sz w:val="30"/>
          <w:szCs w:val="30"/>
        </w:rPr>
        <w:t>–</w:t>
      </w:r>
      <w:r w:rsidRPr="00C80D3A">
        <w:rPr>
          <w:rFonts w:ascii="Times New Roman" w:hAnsi="Times New Roman"/>
          <w:sz w:val="30"/>
          <w:szCs w:val="30"/>
        </w:rPr>
        <w:t xml:space="preserve"> 15 п. 18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(токены);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в виде подарков, стоимость (сумма) каждого из которых не превышает двухсотпятидесятикратного размера БВ на дату получения такого подарка;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Default="00C80D3A" w:rsidP="00497052">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Основные положения Закона </w:t>
      </w:r>
      <w:r w:rsidR="00497052">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7A1E35" w:rsidRDefault="007A1E35" w:rsidP="007A1E35">
      <w:pPr>
        <w:pStyle w:val="22"/>
        <w:spacing w:line="280" w:lineRule="exact"/>
        <w:ind w:right="0"/>
        <w:jc w:val="right"/>
        <w:rPr>
          <w:bCs/>
          <w:i/>
          <w:sz w:val="30"/>
          <w:szCs w:val="30"/>
        </w:rPr>
      </w:pPr>
    </w:p>
    <w:p w:rsidR="00D23A36" w:rsidRPr="00F00D21" w:rsidRDefault="00D23A36" w:rsidP="00F00D21">
      <w:pPr>
        <w:pStyle w:val="22"/>
        <w:spacing w:line="280" w:lineRule="exact"/>
        <w:jc w:val="right"/>
        <w:rPr>
          <w:bCs/>
          <w:i/>
          <w:sz w:val="30"/>
          <w:szCs w:val="30"/>
        </w:rPr>
      </w:pPr>
    </w:p>
    <w:sectPr w:rsidR="00D23A36" w:rsidRPr="00F00D21" w:rsidSect="00EC0D1D">
      <w:headerReference w:type="default" r:id="rId9"/>
      <w:pgSz w:w="11906" w:h="16838"/>
      <w:pgMar w:top="1134" w:right="850" w:bottom="851" w:left="1701" w:header="510"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42" w:rsidRDefault="002D3D42" w:rsidP="003C3604">
      <w:pPr>
        <w:spacing w:after="0" w:line="240" w:lineRule="auto"/>
      </w:pPr>
      <w:r>
        <w:separator/>
      </w:r>
    </w:p>
  </w:endnote>
  <w:endnote w:type="continuationSeparator" w:id="0">
    <w:p w:rsidR="002D3D42" w:rsidRDefault="002D3D4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42" w:rsidRDefault="002D3D42" w:rsidP="003C3604">
      <w:pPr>
        <w:spacing w:after="0" w:line="240" w:lineRule="auto"/>
      </w:pPr>
      <w:r>
        <w:separator/>
      </w:r>
    </w:p>
  </w:footnote>
  <w:footnote w:type="continuationSeparator" w:id="0">
    <w:p w:rsidR="002D3D42" w:rsidRDefault="002D3D4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C0D1D">
      <w:rPr>
        <w:rFonts w:ascii="Times New Roman" w:hAnsi="Times New Roman"/>
        <w:noProof/>
        <w:sz w:val="24"/>
        <w:szCs w:val="24"/>
      </w:rPr>
      <w:t>15</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1F1E"/>
    <w:rsid w:val="002C3C9B"/>
    <w:rsid w:val="002C622B"/>
    <w:rsid w:val="002C7977"/>
    <w:rsid w:val="002D391E"/>
    <w:rsid w:val="002D3D42"/>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393F"/>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231A"/>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D1D"/>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210D3"/>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42B"/>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4FA1-9CD5-44F4-918F-475C13A4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2023-03-14T06:09:00Z</cp:lastPrinted>
  <dcterms:created xsi:type="dcterms:W3CDTF">2023-03-13T10:58:00Z</dcterms:created>
  <dcterms:modified xsi:type="dcterms:W3CDTF">2023-03-14T06:11:00Z</dcterms:modified>
</cp:coreProperties>
</file>