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38" w:rsidRPr="00085D38" w:rsidRDefault="00B7714E" w:rsidP="00B7714E">
      <w:pPr>
        <w:pStyle w:val="ab"/>
        <w:spacing w:before="0" w:beforeAutospacing="0" w:after="0" w:afterAutospacing="0"/>
        <w:jc w:val="both"/>
        <w:rPr>
          <w:b/>
          <w:sz w:val="30"/>
          <w:szCs w:val="30"/>
        </w:rPr>
      </w:pPr>
      <w:r>
        <w:rPr>
          <w:b/>
          <w:sz w:val="30"/>
          <w:szCs w:val="30"/>
        </w:rPr>
        <w:t xml:space="preserve">5. </w:t>
      </w:r>
      <w:r w:rsidR="00085D38" w:rsidRPr="00085D38">
        <w:rPr>
          <w:b/>
          <w:sz w:val="30"/>
          <w:szCs w:val="30"/>
        </w:rPr>
        <w:t>ПОДТОПЛЕНИЯ. ПАЛЫ ТРАВЫ.</w:t>
      </w:r>
      <w:r>
        <w:rPr>
          <w:b/>
          <w:sz w:val="30"/>
          <w:szCs w:val="30"/>
        </w:rPr>
        <w:t xml:space="preserve"> </w:t>
      </w:r>
      <w:r w:rsidR="00085D38" w:rsidRPr="00085D38">
        <w:rPr>
          <w:b/>
          <w:sz w:val="30"/>
          <w:szCs w:val="30"/>
        </w:rPr>
        <w:t>БЕЗОПАСНОСТЬ ДЕТЕЙ НА КАНИКУЛАХ</w:t>
      </w:r>
      <w:r>
        <w:rPr>
          <w:b/>
          <w:sz w:val="30"/>
          <w:szCs w:val="30"/>
        </w:rPr>
        <w:t>.</w:t>
      </w:r>
    </w:p>
    <w:p w:rsidR="00085D38" w:rsidRPr="00085D38" w:rsidRDefault="00085D38" w:rsidP="00085D38">
      <w:pPr>
        <w:pStyle w:val="ab"/>
        <w:spacing w:before="0" w:beforeAutospacing="0" w:after="0" w:afterAutospacing="0"/>
        <w:jc w:val="both"/>
        <w:rPr>
          <w:b/>
          <w:sz w:val="30"/>
          <w:szCs w:val="30"/>
        </w:rPr>
      </w:pP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Основными причинами возникновения  возгораний стали: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неосторожное обращение с огнём – 53 пожара (в 2020- 24 пожара);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отопительного оборудования – 58 пожаров (в 2020- 37 пожаров);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электрооборудования –   35 пожаров (в 2020- 21 пожар).</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w:t>
      </w:r>
      <w:r w:rsidRPr="00085D38">
        <w:rPr>
          <w:b/>
          <w:sz w:val="30"/>
          <w:szCs w:val="30"/>
        </w:rPr>
        <w:t xml:space="preserve">. </w:t>
      </w:r>
      <w:r w:rsidRPr="00085D38">
        <w:rPr>
          <w:sz w:val="30"/>
          <w:szCs w:val="30"/>
        </w:rPr>
        <w:t>Сложная</w:t>
      </w:r>
      <w:r w:rsidRPr="00085D38">
        <w:rPr>
          <w:b/>
          <w:sz w:val="30"/>
          <w:szCs w:val="30"/>
        </w:rPr>
        <w:t xml:space="preserve"> </w:t>
      </w:r>
      <w:r w:rsidRPr="00085D38">
        <w:rPr>
          <w:sz w:val="30"/>
          <w:szCs w:val="30"/>
        </w:rPr>
        <w:t>обстановка с пожарами и гибелью людей от них продолжает оставаться в области.</w:t>
      </w:r>
      <w:r w:rsidRPr="00085D38">
        <w:rPr>
          <w:b/>
          <w:sz w:val="30"/>
          <w:szCs w:val="30"/>
        </w:rPr>
        <w:t xml:space="preserve"> </w:t>
      </w:r>
      <w:r w:rsidRPr="00085D38">
        <w:rPr>
          <w:sz w:val="30"/>
          <w:szCs w:val="30"/>
        </w:rPr>
        <w:t xml:space="preserve">Только за одну неделю с 19 по 25 февраля в области погибло 11 человек!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порядок на подворье, обезопасьте их жилье и быт, тем самым продлив им жизнь.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w:t>
      </w:r>
      <w:r w:rsidRPr="00085D38">
        <w:rPr>
          <w:b/>
          <w:sz w:val="30"/>
          <w:szCs w:val="30"/>
        </w:rPr>
        <w:t>. Подтопления.</w:t>
      </w:r>
      <w:r w:rsidRPr="00085D38">
        <w:rPr>
          <w:i/>
          <w:sz w:val="30"/>
          <w:szCs w:val="30"/>
        </w:rPr>
        <w:t xml:space="preserve"> </w:t>
      </w:r>
      <w:r w:rsidRPr="00085D38">
        <w:rPr>
          <w:sz w:val="30"/>
          <w:szCs w:val="30"/>
        </w:rPr>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Жителям наиболее подтапливаемых зон следует подготовиться к паводковой ситуации: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предусмотрите, откуда может поступить талая вода;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прокопайте отводящие талую воду каналы;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-очистите дренажные и сточные канавки от мусора, веток, льда, накопившихся за зиму;</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Своевременно вынесите из подвалов овощи, консерванты, одним словом все, что вода может испортить. Отключите от электросети </w:t>
      </w:r>
      <w:r w:rsidRPr="00085D38">
        <w:rPr>
          <w:sz w:val="30"/>
          <w:szCs w:val="30"/>
        </w:rPr>
        <w:lastRenderedPageBreak/>
        <w:t>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Ваша бдительность в подобных ситуациях оградит от неприятных последствий и поможет уберечь имущество.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III</w:t>
      </w:r>
      <w:r w:rsidRPr="00085D38">
        <w:rPr>
          <w:b/>
          <w:sz w:val="30"/>
          <w:szCs w:val="30"/>
        </w:rPr>
        <w:t xml:space="preserve">. Палы травы. </w:t>
      </w:r>
      <w:r w:rsidRPr="00085D38">
        <w:rPr>
          <w:sz w:val="30"/>
          <w:szCs w:val="30"/>
        </w:rPr>
        <w:t>Едва солнце подсушивает землю,</w:t>
      </w:r>
      <w:r w:rsidRPr="00085D38">
        <w:rPr>
          <w:b/>
          <w:sz w:val="30"/>
          <w:szCs w:val="30"/>
        </w:rPr>
        <w:t xml:space="preserve"> </w:t>
      </w:r>
      <w:r w:rsidRPr="00085D38">
        <w:rPr>
          <w:sz w:val="30"/>
          <w:szCs w:val="30"/>
        </w:rPr>
        <w:t>как</w:t>
      </w:r>
      <w:r w:rsidRPr="00085D38">
        <w:rPr>
          <w:b/>
          <w:sz w:val="30"/>
          <w:szCs w:val="30"/>
        </w:rPr>
        <w:t xml:space="preserve"> </w:t>
      </w:r>
      <w:r w:rsidRPr="00085D38">
        <w:rPr>
          <w:sz w:val="30"/>
          <w:szCs w:val="30"/>
        </w:rPr>
        <w:t>уставшие от зимы граждане отправляются наводить порядок на приусадебных участках. Вот только не всегда уборка оказывается безопасной.</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w:t>
      </w:r>
      <w:proofErr w:type="spellStart"/>
      <w:r w:rsidRPr="00085D38">
        <w:rPr>
          <w:sz w:val="30"/>
          <w:szCs w:val="30"/>
        </w:rPr>
        <w:t>Чериковский</w:t>
      </w:r>
      <w:proofErr w:type="spellEnd"/>
      <w:r w:rsidRPr="00085D38">
        <w:rPr>
          <w:sz w:val="30"/>
          <w:szCs w:val="30"/>
        </w:rPr>
        <w:t xml:space="preserve">, </w:t>
      </w:r>
      <w:proofErr w:type="spellStart"/>
      <w:r w:rsidRPr="00085D38">
        <w:rPr>
          <w:sz w:val="30"/>
          <w:szCs w:val="30"/>
        </w:rPr>
        <w:t>Климовичский</w:t>
      </w:r>
      <w:proofErr w:type="spellEnd"/>
      <w:r w:rsidRPr="00085D38">
        <w:rPr>
          <w:sz w:val="30"/>
          <w:szCs w:val="30"/>
        </w:rPr>
        <w:t xml:space="preserve">, </w:t>
      </w:r>
      <w:proofErr w:type="spellStart"/>
      <w:r w:rsidRPr="00085D38">
        <w:rPr>
          <w:sz w:val="30"/>
          <w:szCs w:val="30"/>
        </w:rPr>
        <w:t>Дрибинский</w:t>
      </w:r>
      <w:proofErr w:type="spellEnd"/>
      <w:r w:rsidRPr="00085D38">
        <w:rPr>
          <w:sz w:val="30"/>
          <w:szCs w:val="30"/>
        </w:rPr>
        <w:t xml:space="preserve"> районы). Уничтожено 2 дачных строения, 9 хозяйственных построек, повреждено 2 жилых дома и 6 хозяйственных построек.</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085D38">
        <w:rPr>
          <w:sz w:val="30"/>
          <w:szCs w:val="30"/>
        </w:rPr>
        <w:t>диоксины</w:t>
      </w:r>
      <w:proofErr w:type="spellEnd"/>
      <w:r w:rsidRPr="00085D38">
        <w:rPr>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ab/>
        <w:t xml:space="preserve">Правила безопасного сжигания мусора: </w:t>
      </w:r>
      <w:r w:rsidRPr="00085D38">
        <w:rPr>
          <w:sz w:val="30"/>
          <w:szCs w:val="30"/>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Тем же, кто любит отдыхать на природе, не лишним будет напомнить:</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 запрещено разводить костры на торфяных грунтах, </w:t>
      </w:r>
      <w:r w:rsidRPr="00085D38">
        <w:rPr>
          <w:sz w:val="30"/>
          <w:szCs w:val="30"/>
        </w:rPr>
        <w:br/>
        <w:t>под кронами деревьев;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lastRenderedPageBreak/>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 проходите мимо горящей травы, при невозможности потушить пожар своими силами, сообщайте о возгораниях в дежурную службу МЧС по тел. «101», «112».</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 xml:space="preserve">Алгоритм тушения сухой растительности: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Согласно статьи 16.21. Кодекса Республики Беларусь об административных нарушениях 2021 года -</w:t>
      </w:r>
      <w:r w:rsidRPr="00085D38">
        <w:rPr>
          <w:sz w:val="30"/>
          <w:szCs w:val="30"/>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b/>
          <w:sz w:val="30"/>
          <w:szCs w:val="30"/>
        </w:rPr>
      </w:pPr>
      <w:r w:rsidRPr="00085D38">
        <w:rPr>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085D38">
        <w:rPr>
          <w:b/>
          <w:sz w:val="30"/>
          <w:szCs w:val="30"/>
        </w:rPr>
        <w:t>влечет наложение штрафа в размере до тридцати базовых величин.</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Согласно статьи  16.40.</w:t>
      </w:r>
      <w:r w:rsidRPr="00085D38">
        <w:rPr>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085D38">
        <w:rPr>
          <w:b/>
          <w:sz w:val="30"/>
          <w:szCs w:val="30"/>
        </w:rPr>
        <w:t>в размере от десяти до тридцати базовых величин.</w:t>
      </w:r>
      <w:r w:rsidRPr="00085D38">
        <w:rPr>
          <w:sz w:val="30"/>
          <w:szCs w:val="30"/>
        </w:rPr>
        <w:t xml:space="preserve">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Статья 16.41.</w:t>
      </w:r>
      <w:r w:rsidRPr="00085D38">
        <w:rPr>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lastRenderedPageBreak/>
        <w:t>IV</w:t>
      </w:r>
      <w:r w:rsidRPr="00085D38">
        <w:rPr>
          <w:b/>
          <w:sz w:val="30"/>
          <w:szCs w:val="30"/>
        </w:rPr>
        <w:t xml:space="preserve">. </w:t>
      </w:r>
      <w:r w:rsidRPr="00085D38">
        <w:rPr>
          <w:b/>
          <w:iCs/>
          <w:sz w:val="30"/>
          <w:szCs w:val="30"/>
        </w:rPr>
        <w:t xml:space="preserve">Безопасность детей на каникулах. </w:t>
      </w:r>
      <w:r w:rsidRPr="00085D38">
        <w:rPr>
          <w:iCs/>
          <w:sz w:val="30"/>
          <w:szCs w:val="30"/>
        </w:rPr>
        <w:t>С 28 марта начнутся весенние</w:t>
      </w:r>
      <w:r w:rsidRPr="00085D38">
        <w:rPr>
          <w:b/>
          <w:iCs/>
          <w:sz w:val="30"/>
          <w:szCs w:val="30"/>
        </w:rPr>
        <w:t xml:space="preserve"> </w:t>
      </w:r>
      <w:r w:rsidRPr="00085D38">
        <w:rPr>
          <w:sz w:val="30"/>
          <w:szCs w:val="30"/>
        </w:rPr>
        <w:t xml:space="preserve">каникулы, а это значит, что большую часть времени дети будут предоставлены сами себе. </w:t>
      </w:r>
      <w:r w:rsidRPr="00085D38">
        <w:rPr>
          <w:sz w:val="30"/>
          <w:szCs w:val="30"/>
        </w:rPr>
        <w:tab/>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085D38">
        <w:rPr>
          <w:sz w:val="30"/>
          <w:szCs w:val="30"/>
        </w:rPr>
        <w:t>железной дороги или проезжей части</w:t>
      </w:r>
      <w:r w:rsidRPr="00085D38">
        <w:rPr>
          <w:iCs/>
          <w:sz w:val="30"/>
          <w:szCs w:val="30"/>
        </w:rPr>
        <w:t xml:space="preserve">, на водоемах. Расскажите, что при катании на велосипеде, </w:t>
      </w:r>
      <w:proofErr w:type="spellStart"/>
      <w:r w:rsidRPr="00085D38">
        <w:rPr>
          <w:iCs/>
          <w:sz w:val="30"/>
          <w:szCs w:val="30"/>
        </w:rPr>
        <w:t>скейте</w:t>
      </w:r>
      <w:proofErr w:type="spellEnd"/>
      <w:r w:rsidRPr="00085D3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V</w:t>
      </w:r>
      <w:r w:rsidRPr="00085D38">
        <w:rPr>
          <w:b/>
          <w:sz w:val="30"/>
          <w:szCs w:val="30"/>
        </w:rPr>
        <w:t>.</w:t>
      </w:r>
      <w:r w:rsidRPr="00085D38">
        <w:rPr>
          <w:sz w:val="30"/>
          <w:szCs w:val="30"/>
        </w:rPr>
        <w:t xml:space="preserve"> С целью предупреждения пожаров и гибели людей от них, а также обучения населения действиям по сигналу «Внимание всем!» в области</w:t>
      </w:r>
      <w:r w:rsidRPr="00085D38">
        <w:rPr>
          <w:b/>
          <w:sz w:val="30"/>
          <w:szCs w:val="30"/>
        </w:rPr>
        <w:t xml:space="preserve"> со 2 марта стартовала республиканская</w:t>
      </w:r>
      <w:r w:rsidRPr="00085D38">
        <w:rPr>
          <w:sz w:val="30"/>
          <w:szCs w:val="30"/>
        </w:rPr>
        <w:t xml:space="preserve"> </w:t>
      </w:r>
      <w:r w:rsidRPr="00085D38">
        <w:rPr>
          <w:b/>
          <w:sz w:val="30"/>
          <w:szCs w:val="30"/>
        </w:rPr>
        <w:t>акция</w:t>
      </w:r>
      <w:r w:rsidRPr="00085D38">
        <w:rPr>
          <w:sz w:val="30"/>
          <w:szCs w:val="30"/>
        </w:rPr>
        <w:t xml:space="preserve"> </w:t>
      </w:r>
      <w:r w:rsidRPr="00085D38">
        <w:rPr>
          <w:b/>
          <w:sz w:val="30"/>
          <w:szCs w:val="30"/>
        </w:rPr>
        <w:t xml:space="preserve">«День безопасности. Внимание всем!», </w:t>
      </w:r>
      <w:r w:rsidRPr="00085D38">
        <w:rPr>
          <w:sz w:val="30"/>
          <w:szCs w:val="30"/>
        </w:rPr>
        <w:t>приуроченная к Международному дню гражданской обороны.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Акция состоит из 2 этапов: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1-й этап – 2-12 марта.</w:t>
      </w:r>
      <w:r w:rsidRPr="00085D38">
        <w:rPr>
          <w:b/>
          <w:sz w:val="30"/>
          <w:szCs w:val="30"/>
        </w:rPr>
        <w:t xml:space="preserve"> </w:t>
      </w:r>
      <w:r w:rsidRPr="00085D38">
        <w:rPr>
          <w:sz w:val="30"/>
          <w:szCs w:val="30"/>
        </w:rPr>
        <w:t xml:space="preserve">Акция проводилась в общежитиях (в том числе студенческих), торгово-развлекательных центрах, кинотеатрах, на спортивных объектах. Формат мероприятия: </w:t>
      </w:r>
      <w:r w:rsidRPr="00085D38">
        <w:rPr>
          <w:bCs/>
          <w:sz w:val="30"/>
          <w:szCs w:val="30"/>
        </w:rPr>
        <w:t xml:space="preserve">фотовыставки «Назови причину», игры </w:t>
      </w:r>
      <w:r w:rsidRPr="00085D38">
        <w:rPr>
          <w:b/>
          <w:bCs/>
          <w:sz w:val="30"/>
          <w:szCs w:val="30"/>
        </w:rPr>
        <w:t>«</w:t>
      </w:r>
      <w:r w:rsidRPr="00085D38">
        <w:rPr>
          <w:bCs/>
          <w:sz w:val="30"/>
          <w:szCs w:val="30"/>
        </w:rPr>
        <w:t>Секрет Безопасности», «Формула Безопасности», «Пожарная лаборатория», онлайн-игра «Шаги спасения»,</w:t>
      </w:r>
      <w:r w:rsidRPr="00085D38">
        <w:rPr>
          <w:b/>
          <w:bCs/>
          <w:sz w:val="30"/>
          <w:szCs w:val="30"/>
        </w:rPr>
        <w:t xml:space="preserve"> </w:t>
      </w:r>
      <w:r w:rsidRPr="00085D38">
        <w:rPr>
          <w:bCs/>
          <w:sz w:val="30"/>
          <w:szCs w:val="30"/>
        </w:rPr>
        <w:t xml:space="preserve">профилактические беседы с демонстрацией видеофильмов и раздачей наглядно-изобразительной продукции. «Фишка» этапа: </w:t>
      </w:r>
      <w:r w:rsidRPr="00085D38">
        <w:rPr>
          <w:sz w:val="30"/>
          <w:szCs w:val="30"/>
        </w:rPr>
        <w:t xml:space="preserve">проведение </w:t>
      </w:r>
      <w:r w:rsidRPr="00085D38">
        <w:rPr>
          <w:sz w:val="30"/>
          <w:szCs w:val="30"/>
        </w:rPr>
        <w:lastRenderedPageBreak/>
        <w:t>широкомасштабного мероприятия «Парк безопасности» с организацией работы интерактивных площадок.</w:t>
      </w:r>
    </w:p>
    <w:p w:rsidR="00085D38" w:rsidRPr="00085D38" w:rsidRDefault="00085D38" w:rsidP="00085D38">
      <w:pPr>
        <w:pStyle w:val="ab"/>
        <w:spacing w:before="0" w:beforeAutospacing="0" w:after="0" w:afterAutospacing="0"/>
        <w:ind w:firstLine="567"/>
        <w:jc w:val="both"/>
        <w:rPr>
          <w:bCs/>
          <w:sz w:val="30"/>
          <w:szCs w:val="30"/>
        </w:rPr>
      </w:pPr>
      <w:r w:rsidRPr="00085D38">
        <w:rPr>
          <w:sz w:val="30"/>
          <w:szCs w:val="30"/>
        </w:rPr>
        <w:t>2-й этап – 15-31 марта. Целевая аудитория этапа</w:t>
      </w:r>
      <w:r w:rsidRPr="00085D38">
        <w:rPr>
          <w:b/>
          <w:sz w:val="30"/>
          <w:szCs w:val="30"/>
        </w:rPr>
        <w:t xml:space="preserve"> - </w:t>
      </w:r>
      <w:r w:rsidRPr="00085D38">
        <w:rPr>
          <w:sz w:val="30"/>
          <w:szCs w:val="30"/>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085D38">
        <w:rPr>
          <w:bCs/>
          <w:sz w:val="30"/>
          <w:szCs w:val="30"/>
        </w:rPr>
        <w:t>«</w:t>
      </w:r>
      <w:proofErr w:type="spellStart"/>
      <w:r w:rsidRPr="00085D38">
        <w:rPr>
          <w:bCs/>
          <w:sz w:val="30"/>
          <w:szCs w:val="30"/>
        </w:rPr>
        <w:t>Скарбонка</w:t>
      </w:r>
      <w:proofErr w:type="spellEnd"/>
      <w:r w:rsidRPr="00085D38">
        <w:rPr>
          <w:bCs/>
          <w:sz w:val="30"/>
          <w:szCs w:val="30"/>
        </w:rPr>
        <w:t xml:space="preserve"> </w:t>
      </w:r>
      <w:proofErr w:type="spellStart"/>
      <w:r w:rsidRPr="00085D38">
        <w:rPr>
          <w:bCs/>
          <w:sz w:val="30"/>
          <w:szCs w:val="30"/>
        </w:rPr>
        <w:t>бяспек</w:t>
      </w:r>
      <w:proofErr w:type="spellEnd"/>
      <w:r w:rsidRPr="00085D38">
        <w:rPr>
          <w:bCs/>
          <w:sz w:val="30"/>
          <w:szCs w:val="30"/>
          <w:lang w:val="en-US"/>
        </w:rPr>
        <w:t>i</w:t>
      </w:r>
      <w:r w:rsidRPr="00085D38">
        <w:rPr>
          <w:bCs/>
          <w:sz w:val="30"/>
          <w:szCs w:val="30"/>
        </w:rPr>
        <w:t xml:space="preserve">», «Маршрут безопасности», опыты «Пожарная лаборатория» и театрализованные постановки.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085D38">
        <w:rPr>
          <w:sz w:val="30"/>
          <w:szCs w:val="30"/>
        </w:rPr>
        <w:br/>
        <w:t>В первую очередь для привлечения внимания людей подается предупредительный сигнал </w:t>
      </w:r>
      <w:r w:rsidRPr="00085D38">
        <w:rPr>
          <w:b/>
          <w:bCs/>
          <w:sz w:val="30"/>
          <w:szCs w:val="30"/>
        </w:rPr>
        <w:t>«Внимание всем!»</w:t>
      </w:r>
      <w:r w:rsidRPr="00085D38">
        <w:rPr>
          <w:sz w:val="30"/>
          <w:szCs w:val="30"/>
        </w:rPr>
        <w:t xml:space="preserve">. Узнать его можно по звуку </w:t>
      </w:r>
      <w:proofErr w:type="spellStart"/>
      <w:r w:rsidRPr="00085D38">
        <w:rPr>
          <w:sz w:val="30"/>
          <w:szCs w:val="30"/>
        </w:rPr>
        <w:t>электросирен</w:t>
      </w:r>
      <w:proofErr w:type="spellEnd"/>
      <w:r w:rsidRPr="00085D38">
        <w:rPr>
          <w:sz w:val="30"/>
          <w:szCs w:val="30"/>
        </w:rPr>
        <w:t xml:space="preserve"> и других сигнальных средств.</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Услышав этот сигнал:</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 нахождении дома:</w:t>
      </w:r>
      <w:r w:rsidRPr="00085D38">
        <w:rPr>
          <w:sz w:val="30"/>
          <w:szCs w:val="30"/>
        </w:rPr>
        <w:t xml:space="preserve"> включите радиоприемники или телевизоры и приготовьтесь к прослушиванию сообщения.</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в организации:</w:t>
      </w:r>
      <w:r w:rsidRPr="00085D38">
        <w:rPr>
          <w:sz w:val="30"/>
          <w:szCs w:val="30"/>
        </w:rPr>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дальнейшем необходимо действовать согласно полученным указаниям. </w:t>
      </w:r>
    </w:p>
    <w:p w:rsidR="00085D38" w:rsidRPr="00085D38" w:rsidRDefault="00085D38" w:rsidP="00085D38">
      <w:pPr>
        <w:pStyle w:val="ab"/>
        <w:spacing w:line="280" w:lineRule="exact"/>
        <w:rPr>
          <w:b/>
          <w:i/>
          <w:sz w:val="30"/>
          <w:szCs w:val="30"/>
        </w:rPr>
      </w:pPr>
    </w:p>
    <w:p w:rsidR="00085D38" w:rsidRPr="004653E2" w:rsidRDefault="00085D38" w:rsidP="004653E2">
      <w:pPr>
        <w:spacing w:after="0" w:line="240" w:lineRule="auto"/>
        <w:ind w:firstLine="708"/>
        <w:jc w:val="right"/>
        <w:rPr>
          <w:rFonts w:ascii="Times New Roman" w:hAnsi="Times New Roman" w:cs="Times New Roman"/>
          <w:i/>
          <w:sz w:val="30"/>
          <w:szCs w:val="30"/>
        </w:rPr>
      </w:pPr>
      <w:bookmarkStart w:id="0" w:name="_GoBack"/>
      <w:bookmarkEnd w:id="0"/>
    </w:p>
    <w:sectPr w:rsidR="00085D38" w:rsidRPr="004653E2" w:rsidSect="00626AE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5C" w:rsidRDefault="00CB5E5C" w:rsidP="00263ADC">
      <w:pPr>
        <w:spacing w:after="0" w:line="240" w:lineRule="auto"/>
      </w:pPr>
      <w:r>
        <w:separator/>
      </w:r>
    </w:p>
  </w:endnote>
  <w:endnote w:type="continuationSeparator" w:id="0">
    <w:p w:rsidR="00CB5E5C" w:rsidRDefault="00CB5E5C" w:rsidP="0026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5C" w:rsidRDefault="00CB5E5C" w:rsidP="00263ADC">
      <w:pPr>
        <w:spacing w:after="0" w:line="240" w:lineRule="auto"/>
      </w:pPr>
      <w:r>
        <w:separator/>
      </w:r>
    </w:p>
  </w:footnote>
  <w:footnote w:type="continuationSeparator" w:id="0">
    <w:p w:rsidR="00CB5E5C" w:rsidRDefault="00CB5E5C" w:rsidP="0026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3929"/>
      <w:docPartObj>
        <w:docPartGallery w:val="Page Numbers (Top of Page)"/>
        <w:docPartUnique/>
      </w:docPartObj>
    </w:sdtPr>
    <w:sdtEndPr/>
    <w:sdtContent>
      <w:p w:rsidR="00263ADC" w:rsidRDefault="00E71EEF">
        <w:pPr>
          <w:pStyle w:val="a5"/>
          <w:jc w:val="center"/>
        </w:pPr>
        <w:r>
          <w:fldChar w:fldCharType="begin"/>
        </w:r>
        <w:r w:rsidR="00263ADC">
          <w:instrText>PAGE   \* MERGEFORMAT</w:instrText>
        </w:r>
        <w:r>
          <w:fldChar w:fldCharType="separate"/>
        </w:r>
        <w:r w:rsidR="00991211">
          <w:rPr>
            <w:noProof/>
          </w:rPr>
          <w:t>2</w:t>
        </w:r>
        <w:r>
          <w:fldChar w:fldCharType="end"/>
        </w:r>
      </w:p>
    </w:sdtContent>
  </w:sdt>
  <w:p w:rsidR="00263ADC" w:rsidRDefault="00263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65"/>
    <w:rsid w:val="00022FDA"/>
    <w:rsid w:val="000373F4"/>
    <w:rsid w:val="00085D38"/>
    <w:rsid w:val="000B0146"/>
    <w:rsid w:val="000E6B86"/>
    <w:rsid w:val="000F053A"/>
    <w:rsid w:val="00147AC6"/>
    <w:rsid w:val="00151265"/>
    <w:rsid w:val="00170F42"/>
    <w:rsid w:val="00174B17"/>
    <w:rsid w:val="001B6126"/>
    <w:rsid w:val="001D4BD3"/>
    <w:rsid w:val="001E62C3"/>
    <w:rsid w:val="00246DD5"/>
    <w:rsid w:val="00263ADC"/>
    <w:rsid w:val="002C4C22"/>
    <w:rsid w:val="00332412"/>
    <w:rsid w:val="003747F5"/>
    <w:rsid w:val="003C6D0F"/>
    <w:rsid w:val="0042098D"/>
    <w:rsid w:val="004653E2"/>
    <w:rsid w:val="00610100"/>
    <w:rsid w:val="00626AE5"/>
    <w:rsid w:val="00760635"/>
    <w:rsid w:val="007C0288"/>
    <w:rsid w:val="007E4043"/>
    <w:rsid w:val="00820B0D"/>
    <w:rsid w:val="00836B85"/>
    <w:rsid w:val="00886643"/>
    <w:rsid w:val="00897A4E"/>
    <w:rsid w:val="008E5550"/>
    <w:rsid w:val="00922A50"/>
    <w:rsid w:val="00987303"/>
    <w:rsid w:val="00991211"/>
    <w:rsid w:val="009A6C26"/>
    <w:rsid w:val="00B543C7"/>
    <w:rsid w:val="00B7714E"/>
    <w:rsid w:val="00BC25D6"/>
    <w:rsid w:val="00C42407"/>
    <w:rsid w:val="00C43250"/>
    <w:rsid w:val="00C758C3"/>
    <w:rsid w:val="00C81347"/>
    <w:rsid w:val="00CA05AA"/>
    <w:rsid w:val="00CA603A"/>
    <w:rsid w:val="00CB5E5C"/>
    <w:rsid w:val="00D63E01"/>
    <w:rsid w:val="00D77F81"/>
    <w:rsid w:val="00DB5DCD"/>
    <w:rsid w:val="00DC75DE"/>
    <w:rsid w:val="00DF5CBE"/>
    <w:rsid w:val="00E01DA5"/>
    <w:rsid w:val="00E71EEF"/>
    <w:rsid w:val="00FA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A701-7FCE-4A1F-B593-8DFF14AA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Белоусова Елена Валерьевна</cp:lastModifiedBy>
  <cp:revision>4</cp:revision>
  <dcterms:created xsi:type="dcterms:W3CDTF">2021-03-15T13:20:00Z</dcterms:created>
  <dcterms:modified xsi:type="dcterms:W3CDTF">2021-03-15T13:23:00Z</dcterms:modified>
</cp:coreProperties>
</file>