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50" w:rsidRDefault="00B90A50" w:rsidP="00B90A50">
      <w:pPr>
        <w:pStyle w:val="a8"/>
        <w:jc w:val="center"/>
        <w:rPr>
          <w:rFonts w:ascii="Times New Roman" w:hAnsi="Times New Roman" w:cs="Times New Roman"/>
          <w:b/>
          <w:color w:val="auto"/>
          <w:sz w:val="34"/>
          <w:szCs w:val="34"/>
        </w:rPr>
      </w:pPr>
      <w:r w:rsidRPr="00B90A50">
        <w:rPr>
          <w:rFonts w:ascii="Times New Roman" w:hAnsi="Times New Roman" w:cs="Times New Roman"/>
          <w:b/>
          <w:color w:val="auto"/>
          <w:sz w:val="34"/>
          <w:szCs w:val="34"/>
        </w:rPr>
        <w:t>Отчет</w:t>
      </w:r>
      <w:r w:rsidRPr="00B90A50">
        <w:rPr>
          <w:rFonts w:ascii="Times New Roman" w:hAnsi="Times New Roman" w:cs="Times New Roman"/>
          <w:b/>
          <w:color w:val="auto"/>
          <w:sz w:val="34"/>
          <w:szCs w:val="34"/>
        </w:rPr>
        <w:t xml:space="preserve"> о работе Бобруйского городского </w:t>
      </w:r>
      <w:r w:rsidRPr="00B90A50">
        <w:rPr>
          <w:rFonts w:ascii="Times New Roman" w:hAnsi="Times New Roman" w:cs="Times New Roman"/>
          <w:b/>
          <w:color w:val="auto"/>
          <w:sz w:val="34"/>
          <w:szCs w:val="34"/>
        </w:rPr>
        <w:t>исполни</w:t>
      </w:r>
      <w:r>
        <w:rPr>
          <w:rFonts w:ascii="Times New Roman" w:hAnsi="Times New Roman" w:cs="Times New Roman"/>
          <w:b/>
          <w:color w:val="auto"/>
          <w:sz w:val="34"/>
          <w:szCs w:val="34"/>
        </w:rPr>
        <w:t xml:space="preserve">тельного </w:t>
      </w:r>
      <w:r w:rsidRPr="00B90A50">
        <w:rPr>
          <w:rFonts w:ascii="Times New Roman" w:hAnsi="Times New Roman" w:cs="Times New Roman"/>
          <w:b/>
          <w:color w:val="auto"/>
          <w:sz w:val="34"/>
          <w:szCs w:val="34"/>
        </w:rPr>
        <w:t>комитета по социально-</w:t>
      </w:r>
      <w:r w:rsidRPr="00B90A50">
        <w:rPr>
          <w:rFonts w:ascii="Times New Roman" w:hAnsi="Times New Roman" w:cs="Times New Roman"/>
          <w:b/>
          <w:color w:val="auto"/>
          <w:sz w:val="34"/>
          <w:szCs w:val="34"/>
        </w:rPr>
        <w:t>экономическому развитию города</w:t>
      </w:r>
    </w:p>
    <w:p w:rsidR="00B90A50" w:rsidRPr="00B90A50" w:rsidRDefault="00B90A50" w:rsidP="00B90A50">
      <w:pPr>
        <w:pStyle w:val="a8"/>
        <w:jc w:val="center"/>
        <w:rPr>
          <w:rFonts w:ascii="Times New Roman" w:hAnsi="Times New Roman" w:cs="Times New Roman"/>
          <w:b/>
          <w:color w:val="auto"/>
          <w:sz w:val="34"/>
          <w:szCs w:val="34"/>
        </w:rPr>
      </w:pPr>
      <w:r w:rsidRPr="00B90A50">
        <w:rPr>
          <w:rFonts w:ascii="Times New Roman" w:hAnsi="Times New Roman" w:cs="Times New Roman"/>
          <w:b/>
          <w:color w:val="auto"/>
          <w:sz w:val="34"/>
          <w:szCs w:val="34"/>
        </w:rPr>
        <w:t>за 2019 год</w:t>
      </w:r>
    </w:p>
    <w:p w:rsidR="00B90A50" w:rsidRPr="00B90A50" w:rsidRDefault="00B90A50" w:rsidP="00B90A50">
      <w:pPr>
        <w:pStyle w:val="a4"/>
        <w:rPr>
          <w:rFonts w:ascii="Times New Roman" w:hAnsi="Times New Roman" w:cs="Times New Roman"/>
        </w:rPr>
      </w:pPr>
    </w:p>
    <w:p w:rsidR="00B90A50" w:rsidRPr="00B90A50" w:rsidRDefault="00B90A50" w:rsidP="00B90A50">
      <w:pPr>
        <w:pStyle w:val="a4"/>
        <w:ind w:firstLine="170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В</w:t>
      </w:r>
      <w:r w:rsidRPr="00B90A50">
        <w:rPr>
          <w:rFonts w:ascii="Times New Roman" w:hAnsi="Times New Roman" w:cs="Times New Roman"/>
          <w:sz w:val="28"/>
          <w:szCs w:val="28"/>
        </w:rPr>
        <w:t xml:space="preserve"> течение 2019 года деятельность Бобруйского городского исполнительного комитета, субъектов хозяйствования была направлена на укрепление экономического потенциала города, активизацию инвестиционной деятельности и жилищного строительства, создание новых рабочих мест и обеспечение эффективной занятости населения, содействие развитию малого и среднего бизнеса, развитие социальной сферы.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-1"/>
          <w:sz w:val="28"/>
          <w:szCs w:val="28"/>
        </w:rPr>
      </w:pPr>
      <w:r w:rsidRPr="00B90A50">
        <w:rPr>
          <w:rFonts w:ascii="Times New Roman" w:hAnsi="Times New Roman" w:cs="Times New Roman"/>
          <w:spacing w:val="-1"/>
          <w:sz w:val="28"/>
          <w:szCs w:val="28"/>
        </w:rPr>
        <w:t xml:space="preserve">На особом контроле находилась реализация Программы социально-экономического развития Бобруйска на 2016-2020 годы, Комплексного плана ускоренного развития города на 2019-2020 годы (далее – Комплексный план), утвержденного решением Могилевского облисполкома от 19 июня 2019 года №18-38.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-3"/>
          <w:sz w:val="28"/>
          <w:szCs w:val="28"/>
        </w:rPr>
      </w:pPr>
      <w:r w:rsidRPr="00B90A50">
        <w:rPr>
          <w:rFonts w:ascii="Times New Roman" w:hAnsi="Times New Roman" w:cs="Times New Roman"/>
          <w:spacing w:val="-3"/>
          <w:sz w:val="28"/>
          <w:szCs w:val="28"/>
        </w:rPr>
        <w:t xml:space="preserve">С этой целью осуществлялся комплекс мероприятий по повышению эффективности экономики, в том числе промышленного комплекса, расширению внешнеэкономических связей, созданию комфортных и безопасных условий для жизни граждан и роста их благосостояния.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Объем их финансирования в соответствии с Комплексным планом за 2019 год составил более 270 млн. руб.</w:t>
      </w:r>
    </w:p>
    <w:p w:rsidR="00B90A50" w:rsidRPr="00B90A50" w:rsidRDefault="00B90A50" w:rsidP="00B90A5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90A50">
        <w:rPr>
          <w:rFonts w:ascii="Times New Roman" w:hAnsi="Times New Roman" w:cs="Times New Roman"/>
          <w:b/>
          <w:sz w:val="28"/>
          <w:szCs w:val="28"/>
        </w:rPr>
        <w:t>Развитие реального сектора экономики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B90A50">
        <w:rPr>
          <w:rFonts w:ascii="Times New Roman" w:hAnsi="Times New Roman" w:cs="Times New Roman"/>
          <w:i/>
          <w:iCs/>
          <w:sz w:val="28"/>
          <w:szCs w:val="28"/>
        </w:rPr>
        <w:t>В 2019 году промышленные предприятия произвели продукции на 1,7 миллиарда рублей.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 xml:space="preserve">Для повышения качества и конкурентоспособности выпускаемой продукции и в соответствии с Комплексным планом промышленные предприятия направили на модернизацию и приобретение технологического оборудования свыше 6,4 млн. рублей, на освоение и производство новых видов продукции – порядка 2,8. При этом удельный вес инновационной </w:t>
      </w:r>
      <w:proofErr w:type="gramStart"/>
      <w:r w:rsidRPr="00B90A50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B90A50">
        <w:rPr>
          <w:rFonts w:ascii="Times New Roman" w:hAnsi="Times New Roman" w:cs="Times New Roman"/>
          <w:sz w:val="28"/>
          <w:szCs w:val="28"/>
        </w:rPr>
        <w:t xml:space="preserve"> в общем объеме отгруженной возрос с 6,6% в 2018-м до 8,3 в 2019-м. Наиболее высокий ее удельный вес обеспечили предприятия машиностроительного комплекса, в том числе ОАО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ТАиМ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 – 44,1%, ОАО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Бобруйсксельмаш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» – 41%, ОАО «Бобруйский завод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ТДиА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» – 26,3%, ОАО «Бобруйский машиностроительный завод» – 16,9%, ОАО «УКХ «Бобруйск­агромаш» – 10,7%.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 xml:space="preserve">В рамках ежегодно разрабатываемого плана действий по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 предприятия реализуют мероприятия по наращиванию производства новой и ранее освоенной импортозамещающей продукции, вовлечению малого и среднего бизнеса в экспортную деятельность и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B90A50">
        <w:rPr>
          <w:rFonts w:ascii="Times New Roman" w:hAnsi="Times New Roman" w:cs="Times New Roman"/>
          <w:sz w:val="28"/>
          <w:szCs w:val="28"/>
        </w:rPr>
        <w:t xml:space="preserve">В соответствии с мероприятиями по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 Могилевской области предприятия городской коммунальной собственности, с долей собственности Бобруйска в уставных фондах хозяйственных обществ и организации, не имеющие ведомственной подчиненности (ОАО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Беларусьрезинотехника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», ОАО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Эковер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 ПРО», СООО «Оазис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», ЗАО «Бобруйский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бровар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», ООО «Алмаз-Люкс», ЧПУП «Макс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Стайл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», ЧУП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Аврорапласт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Барро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Алюр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 групп», ОАО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Спецавтотехника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», РУП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Бобруйская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 укрупненная типография им.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А.Т.Непогодина</w:t>
      </w:r>
      <w:proofErr w:type="spellEnd"/>
      <w:proofErr w:type="gramEnd"/>
      <w:r w:rsidRPr="00B90A50">
        <w:rPr>
          <w:rFonts w:ascii="Times New Roman" w:hAnsi="Times New Roman" w:cs="Times New Roman"/>
          <w:sz w:val="28"/>
          <w:szCs w:val="28"/>
        </w:rPr>
        <w:t xml:space="preserve">»), произвели продукции импортозамещающего характера на 79 млн. долларов. 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Одной из приоритетных задач</w:t>
      </w:r>
      <w:r w:rsidRPr="00B90A50">
        <w:rPr>
          <w:rFonts w:ascii="Times New Roman" w:hAnsi="Times New Roman" w:cs="Times New Roman"/>
          <w:sz w:val="28"/>
          <w:szCs w:val="28"/>
        </w:rPr>
        <w:t xml:space="preserve"> оставалось расширение </w:t>
      </w:r>
      <w:r w:rsidRPr="00B90A50">
        <w:rPr>
          <w:rFonts w:ascii="Times New Roman" w:hAnsi="Times New Roman" w:cs="Times New Roman"/>
          <w:b/>
          <w:bCs/>
          <w:sz w:val="28"/>
          <w:szCs w:val="28"/>
        </w:rPr>
        <w:t>внешнеторгового сотрудничества</w:t>
      </w:r>
      <w:r w:rsidRPr="00B90A50">
        <w:rPr>
          <w:rFonts w:ascii="Times New Roman" w:hAnsi="Times New Roman" w:cs="Times New Roman"/>
          <w:sz w:val="28"/>
          <w:szCs w:val="28"/>
        </w:rPr>
        <w:t>. Внешнеторговый оборот товарами и услугами составил 647,5 млн. долларов, в том числе за пределы республики предприятия города реализовали товаров, работ, услуг на 415,2.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spacing w:val="2"/>
          <w:sz w:val="28"/>
          <w:szCs w:val="28"/>
        </w:rPr>
        <w:t>Устойчиво положительным было сальдо внешней торговли товарами и услугами, при этом с положительной динамикой к уровню прошлого года (183 млн. долларов в 2019 году при 141,7 в 2018-м)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 xml:space="preserve">Продукция предприятий города поставлялась в 74 страны мира, включая 28 новых перспективных государств, в их числе Иордания, ОАЭ, Босния и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Герцоговина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, Исландия, Йемен и другие. Увеличен экспо</w:t>
      </w:r>
      <w:proofErr w:type="gramStart"/>
      <w:r w:rsidRPr="00B90A50">
        <w:rPr>
          <w:rFonts w:ascii="Times New Roman" w:hAnsi="Times New Roman" w:cs="Times New Roman"/>
          <w:sz w:val="28"/>
          <w:szCs w:val="28"/>
        </w:rPr>
        <w:t>рт в стр</w:t>
      </w:r>
      <w:proofErr w:type="gramEnd"/>
      <w:r w:rsidRPr="00B90A50">
        <w:rPr>
          <w:rFonts w:ascii="Times New Roman" w:hAnsi="Times New Roman" w:cs="Times New Roman"/>
          <w:sz w:val="28"/>
          <w:szCs w:val="28"/>
        </w:rPr>
        <w:t>аны Европейского союза на 15% к уровню 2018-го, в том числе в Литву, Нидерланды, Польшу, Болгарию, Германию, Румынию и другие.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Важнейшими экспортными позициями традиционно остаются шины и покрышки пневматические, малогабаритные тракторы, сельскохозяйственные машины и механизмы, центробежные насосы, мебель и изделия из древесины, продукты питания.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В числе лидеров по наращиванию экспортных поставок ОАО «УКХ «Бобруйскагромаш», ОАО «Бобруйский машиностроительный завод», ЗАО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Лег­промразвитие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», ЗАО «Бобруйский 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бровар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», ОАО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ФанДОК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».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 xml:space="preserve">В прошедшем году резидентам более чем 60 стран мира оказаны услуги в объеме порядка 19 млн. долларов, или с ростом к уровню 2018-го на 50%.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-2"/>
          <w:sz w:val="28"/>
          <w:szCs w:val="28"/>
        </w:rPr>
      </w:pPr>
      <w:r w:rsidRPr="00B90A50">
        <w:rPr>
          <w:rFonts w:ascii="Times New Roman" w:hAnsi="Times New Roman" w:cs="Times New Roman"/>
          <w:spacing w:val="-2"/>
          <w:sz w:val="28"/>
          <w:szCs w:val="28"/>
        </w:rPr>
        <w:t>Основу роста услуг составили транспортные – более чем в 1,3 раза к 2018 году, строительные – в 5,7 раза. Объем туристических услуг возрос на 6,5%.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 xml:space="preserve">Создание новых предприятий и производств, строительство и реконструкция объектов инфраструктуры открывают новые перспективы для развития экономики. В течение года в основной капитал из различных источников финансирования на реализацию инвестиционных проектов и мероприятий было направлено 187 миллионов рублей.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-2"/>
          <w:sz w:val="28"/>
          <w:szCs w:val="28"/>
        </w:rPr>
      </w:pPr>
      <w:r w:rsidRPr="00B90A50">
        <w:rPr>
          <w:rFonts w:ascii="Times New Roman" w:hAnsi="Times New Roman" w:cs="Times New Roman"/>
          <w:spacing w:val="-2"/>
          <w:sz w:val="28"/>
          <w:szCs w:val="28"/>
        </w:rPr>
        <w:t>Основные объемы инвестиций освоены ОАО «УКХ «Бобруйскагромаш», ОАО «Красный пищевик», ОАО «</w:t>
      </w:r>
      <w:proofErr w:type="spellStart"/>
      <w:r w:rsidRPr="00B90A50">
        <w:rPr>
          <w:rFonts w:ascii="Times New Roman" w:hAnsi="Times New Roman" w:cs="Times New Roman"/>
          <w:spacing w:val="-2"/>
          <w:sz w:val="28"/>
          <w:szCs w:val="28"/>
        </w:rPr>
        <w:t>ФанДОК</w:t>
      </w:r>
      <w:proofErr w:type="spellEnd"/>
      <w:r w:rsidRPr="00B90A50">
        <w:rPr>
          <w:rFonts w:ascii="Times New Roman" w:hAnsi="Times New Roman" w:cs="Times New Roman"/>
          <w:spacing w:val="-2"/>
          <w:sz w:val="28"/>
          <w:szCs w:val="28"/>
        </w:rPr>
        <w:t>», МРУПЭ «</w:t>
      </w:r>
      <w:proofErr w:type="spellStart"/>
      <w:r w:rsidRPr="00B90A50">
        <w:rPr>
          <w:rFonts w:ascii="Times New Roman" w:hAnsi="Times New Roman" w:cs="Times New Roman"/>
          <w:spacing w:val="-2"/>
          <w:sz w:val="28"/>
          <w:szCs w:val="28"/>
        </w:rPr>
        <w:t>Могилевэнерго</w:t>
      </w:r>
      <w:proofErr w:type="spellEnd"/>
      <w:r w:rsidRPr="00B90A50">
        <w:rPr>
          <w:rFonts w:ascii="Times New Roman" w:hAnsi="Times New Roman" w:cs="Times New Roman"/>
          <w:spacing w:val="-2"/>
          <w:sz w:val="28"/>
          <w:szCs w:val="28"/>
        </w:rPr>
        <w:t>», ЗАО «</w:t>
      </w:r>
      <w:proofErr w:type="spellStart"/>
      <w:r w:rsidRPr="00B90A50">
        <w:rPr>
          <w:rFonts w:ascii="Times New Roman" w:hAnsi="Times New Roman" w:cs="Times New Roman"/>
          <w:spacing w:val="-2"/>
          <w:sz w:val="28"/>
          <w:szCs w:val="28"/>
        </w:rPr>
        <w:t>Легпромразвитие</w:t>
      </w:r>
      <w:proofErr w:type="spellEnd"/>
      <w:r w:rsidRPr="00B90A50">
        <w:rPr>
          <w:rFonts w:ascii="Times New Roman" w:hAnsi="Times New Roman" w:cs="Times New Roman"/>
          <w:spacing w:val="-2"/>
          <w:sz w:val="28"/>
          <w:szCs w:val="28"/>
        </w:rPr>
        <w:t>», ОАО «</w:t>
      </w:r>
      <w:proofErr w:type="spellStart"/>
      <w:r w:rsidRPr="00B90A50">
        <w:rPr>
          <w:rFonts w:ascii="Times New Roman" w:hAnsi="Times New Roman" w:cs="Times New Roman"/>
          <w:spacing w:val="-2"/>
          <w:sz w:val="28"/>
          <w:szCs w:val="28"/>
        </w:rPr>
        <w:t>Эковер</w:t>
      </w:r>
      <w:proofErr w:type="spellEnd"/>
      <w:r w:rsidRPr="00B90A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B90A50">
        <w:rPr>
          <w:rFonts w:ascii="Times New Roman" w:hAnsi="Times New Roman" w:cs="Times New Roman"/>
          <w:spacing w:val="-2"/>
          <w:sz w:val="28"/>
          <w:szCs w:val="28"/>
        </w:rPr>
        <w:t>ПРО</w:t>
      </w:r>
      <w:proofErr w:type="gramEnd"/>
      <w:r w:rsidRPr="00B90A50">
        <w:rPr>
          <w:rFonts w:ascii="Times New Roman" w:hAnsi="Times New Roman" w:cs="Times New Roman"/>
          <w:spacing w:val="-2"/>
          <w:sz w:val="28"/>
          <w:szCs w:val="28"/>
        </w:rPr>
        <w:t xml:space="preserve">», </w:t>
      </w:r>
      <w:proofErr w:type="gramStart"/>
      <w:r w:rsidRPr="00B90A50">
        <w:rPr>
          <w:rFonts w:ascii="Times New Roman" w:hAnsi="Times New Roman" w:cs="Times New Roman"/>
          <w:spacing w:val="-2"/>
          <w:sz w:val="28"/>
          <w:szCs w:val="28"/>
        </w:rPr>
        <w:t>филиалом</w:t>
      </w:r>
      <w:proofErr w:type="gramEnd"/>
      <w:r w:rsidRPr="00B90A50">
        <w:rPr>
          <w:rFonts w:ascii="Times New Roman" w:hAnsi="Times New Roman" w:cs="Times New Roman"/>
          <w:spacing w:val="-2"/>
          <w:sz w:val="28"/>
          <w:szCs w:val="28"/>
        </w:rPr>
        <w:t xml:space="preserve"> «Бобруйский водоканал» УПКП ВКХ «</w:t>
      </w:r>
      <w:proofErr w:type="spellStart"/>
      <w:r w:rsidRPr="00B90A50">
        <w:rPr>
          <w:rFonts w:ascii="Times New Roman" w:hAnsi="Times New Roman" w:cs="Times New Roman"/>
          <w:spacing w:val="-2"/>
          <w:sz w:val="28"/>
          <w:szCs w:val="28"/>
        </w:rPr>
        <w:t>Могилев­облводоканал</w:t>
      </w:r>
      <w:proofErr w:type="spellEnd"/>
      <w:r w:rsidRPr="00B90A50">
        <w:rPr>
          <w:rFonts w:ascii="Times New Roman" w:hAnsi="Times New Roman" w:cs="Times New Roman"/>
          <w:spacing w:val="-2"/>
          <w:sz w:val="28"/>
          <w:szCs w:val="28"/>
        </w:rPr>
        <w:t xml:space="preserve">», ООО «Санта Ритейл».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исполнительного комитета выступает </w:t>
      </w:r>
      <w:r w:rsidRPr="00B90A50">
        <w:rPr>
          <w:rFonts w:ascii="Times New Roman" w:hAnsi="Times New Roman" w:cs="Times New Roman"/>
          <w:b/>
          <w:bCs/>
          <w:sz w:val="28"/>
          <w:szCs w:val="28"/>
        </w:rPr>
        <w:t>создание необходимых условий для развития предпринимательства.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Возросло количество субъектов малого и среднего предпринимательства. На 1 января 2020 года число организаций малого и среднего бизнеса составило 1425, или 101,4% к уровню 2018-го, индивидуальных предпринимателей – 5324 и 106,3% соответственно. За 2019 год создано 108 новых коммерческих организаций.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 xml:space="preserve">Увеличился вклад субъектов малого и среднего предпринимательства в экономику, поступления в бюджет составили 73,4 млн. рублей (124,2% к 2018 году), удельный вес платежей в бюджет – 31,6% (на 1.01.2019 – 27,6%). 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Ясеньлес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» стало победителем ежегодного национального конкурса «Предприниматель года» в номинации «Эффективный бизнес в сфере производства».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b/>
          <w:bCs/>
          <w:sz w:val="28"/>
          <w:szCs w:val="28"/>
        </w:rPr>
        <w:t>Дальнейшее развитие получило жилищное строительство.</w:t>
      </w:r>
      <w:r w:rsidRPr="00B90A50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финансирования введено в эксплуатацию 66259 кв. м жилья (130,5% к уровню 2018-го) путем завершения строительства 15 многоквартирных жилых домов общей площадью 47800 кв. м и индивидуальных жилых домов общей площадью 14248 кв. м.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-4"/>
          <w:sz w:val="28"/>
          <w:szCs w:val="28"/>
        </w:rPr>
      </w:pPr>
      <w:r w:rsidRPr="00B90A50">
        <w:rPr>
          <w:rFonts w:ascii="Times New Roman" w:hAnsi="Times New Roman" w:cs="Times New Roman"/>
          <w:spacing w:val="-4"/>
          <w:sz w:val="28"/>
          <w:szCs w:val="28"/>
        </w:rPr>
        <w:lastRenderedPageBreak/>
        <w:t>Кроме того, в декабре 2019-го введен в эксплуатацию одноквартирный жилой дом для семьи, воспитывающей детей-сирот и детей, оставшихся без попечения родителей, общей площадью 246 кв. м.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b/>
          <w:bCs/>
          <w:sz w:val="28"/>
          <w:szCs w:val="28"/>
        </w:rPr>
        <w:t>С государственной поддержкой</w:t>
      </w:r>
      <w:r w:rsidRPr="00B90A50">
        <w:rPr>
          <w:rFonts w:ascii="Times New Roman" w:hAnsi="Times New Roman" w:cs="Times New Roman"/>
          <w:sz w:val="28"/>
          <w:szCs w:val="28"/>
        </w:rPr>
        <w:t xml:space="preserve"> введено в эксплуатацию 28252 кв. м общей площади жилья, что позволило улучшить жилищные условия 223 многодетных семей (109,9% к годовому заданию) путем строительства 253 квартир общей площадью 15862 кв. м.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от 4 июля 2017 г.</w:t>
      </w:r>
      <w:r w:rsidRPr="00B90A50">
        <w:rPr>
          <w:rFonts w:ascii="Times New Roman" w:hAnsi="Times New Roman" w:cs="Times New Roman"/>
          <w:sz w:val="28"/>
          <w:szCs w:val="28"/>
        </w:rPr>
        <w:br/>
        <w:t>№240 «О государственной поддержке граждан при строительстве (реконструкции) жилых помещений» в 2019 году при строительстве жилья освоено порядка 25,8 млн. рублей банковских кредитных ресурсов.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b/>
          <w:bCs/>
          <w:sz w:val="28"/>
          <w:szCs w:val="28"/>
        </w:rPr>
        <w:t>Продолжена</w:t>
      </w:r>
      <w:r w:rsidRPr="00B90A50">
        <w:rPr>
          <w:rFonts w:ascii="Times New Roman" w:hAnsi="Times New Roman" w:cs="Times New Roman"/>
          <w:sz w:val="28"/>
          <w:szCs w:val="28"/>
        </w:rPr>
        <w:t xml:space="preserve"> реконструкция лечебного корпуса детской больницы с детской поликлиникой №3 УЗ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Бобруйская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 городская детская больница» на ул. 50 лет Октября, 15. Этот объе</w:t>
      </w:r>
      <w:proofErr w:type="gramStart"/>
      <w:r w:rsidRPr="00B90A50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B90A50">
        <w:rPr>
          <w:rFonts w:ascii="Times New Roman" w:hAnsi="Times New Roman" w:cs="Times New Roman"/>
          <w:sz w:val="28"/>
          <w:szCs w:val="28"/>
        </w:rPr>
        <w:t>ючен в инвестиционную программу Могилевской области на 2020 год.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b/>
          <w:bCs/>
          <w:sz w:val="28"/>
          <w:szCs w:val="28"/>
        </w:rPr>
        <w:t>Торговое обслуживание</w:t>
      </w:r>
      <w:r w:rsidRPr="00B90A50">
        <w:rPr>
          <w:rFonts w:ascii="Times New Roman" w:hAnsi="Times New Roman" w:cs="Times New Roman"/>
          <w:sz w:val="28"/>
          <w:szCs w:val="28"/>
        </w:rPr>
        <w:t xml:space="preserve"> горожан осуществлялось 2693 торговыми объектами с торговой площадью 154,8 тысячи кв. м, в том числе 1135 магазинами всех форм собственности, 36 торговыми центрами, 6 рынками, 248 объектами общественного питания. </w:t>
      </w:r>
      <w:r w:rsidRPr="00B90A50">
        <w:rPr>
          <w:rFonts w:ascii="Times New Roman" w:hAnsi="Times New Roman" w:cs="Times New Roman"/>
          <w:b/>
          <w:bCs/>
          <w:sz w:val="28"/>
          <w:szCs w:val="28"/>
        </w:rPr>
        <w:t xml:space="preserve">Бытовые услуги </w:t>
      </w:r>
      <w:r w:rsidRPr="00B90A50">
        <w:rPr>
          <w:rFonts w:ascii="Times New Roman" w:hAnsi="Times New Roman" w:cs="Times New Roman"/>
          <w:sz w:val="28"/>
          <w:szCs w:val="28"/>
        </w:rPr>
        <w:t>оказывались</w:t>
      </w:r>
      <w:r w:rsidRPr="00B90A50">
        <w:rPr>
          <w:rFonts w:ascii="Times New Roman" w:hAnsi="Times New Roman" w:cs="Times New Roman"/>
          <w:b/>
          <w:bCs/>
          <w:sz w:val="28"/>
          <w:szCs w:val="28"/>
        </w:rPr>
        <w:t xml:space="preserve"> населению</w:t>
      </w:r>
      <w:r w:rsidRPr="00B90A50">
        <w:rPr>
          <w:rFonts w:ascii="Times New Roman" w:hAnsi="Times New Roman" w:cs="Times New Roman"/>
          <w:sz w:val="28"/>
          <w:szCs w:val="28"/>
        </w:rPr>
        <w:t xml:space="preserve"> в 696 объектах бытового обслуживания.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90A50">
        <w:rPr>
          <w:rFonts w:ascii="Times New Roman" w:hAnsi="Times New Roman" w:cs="Times New Roman"/>
          <w:sz w:val="28"/>
          <w:szCs w:val="28"/>
        </w:rPr>
        <w:t>За прошедший год открыто 37 объектов общественного питания на 803 посадочных места (в том числе кафе «Бобровая хатка», закусочная ЧП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Доминос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>-пицца», бар «Мармелад», кафе быстрого обслуживания ОДО «</w:t>
      </w:r>
      <w:proofErr w:type="spellStart"/>
      <w:r w:rsidRPr="00B90A50">
        <w:rPr>
          <w:rFonts w:ascii="Times New Roman" w:hAnsi="Times New Roman" w:cs="Times New Roman"/>
          <w:sz w:val="28"/>
          <w:szCs w:val="28"/>
        </w:rPr>
        <w:t>Виталюр</w:t>
      </w:r>
      <w:proofErr w:type="spellEnd"/>
      <w:r w:rsidRPr="00B90A50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-1"/>
          <w:sz w:val="28"/>
          <w:szCs w:val="28"/>
        </w:rPr>
      </w:pPr>
      <w:r w:rsidRPr="00B90A50">
        <w:rPr>
          <w:rFonts w:ascii="Times New Roman" w:hAnsi="Times New Roman" w:cs="Times New Roman"/>
          <w:spacing w:val="-1"/>
          <w:sz w:val="28"/>
          <w:szCs w:val="28"/>
        </w:rPr>
        <w:t>Для повышения уровня обслуживания населения, увеличения объемов продаж организовано и проведено 255 ярмарок, 3922 выставки-продажи и распродажи, обеспечено участие в 5 областных и 3 республиканских «Единых днях скидок». На 7 площадках города прошли 52 сельскохозяйственные ярмарки.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Объем розничного товарооборота возрос до 923,6 миллиона рублей – 101,8% к 2018 году.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Продолжена работа субъектов хозяйствования всех форм собственности в области </w:t>
      </w:r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энергосбережения</w:t>
      </w: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. Осуществлен ряд мероприятий по повышению эффективности использования топливно-энергетических ресурсов. В результате </w:t>
      </w:r>
      <w:proofErr w:type="gram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реализации комплекса мер организации Бобруйска</w:t>
      </w:r>
      <w:proofErr w:type="gram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экономию энергоресурсов в объеме </w:t>
      </w:r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18,3 тыс. </w:t>
      </w:r>
      <w:proofErr w:type="spellStart"/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т.у.т</w:t>
      </w:r>
      <w:proofErr w:type="spellEnd"/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, что позволило в целом по городу обеспечить показатель по энергосбережению на уровне </w:t>
      </w:r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минус 5,3%.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Развивалась система </w:t>
      </w:r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общественного транспорта</w:t>
      </w: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. С целью улучшения качества транспортного обслуживания горожан обновлен подвижной состав 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бобруйских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филиалов «Автобусный парк №2» и «Троллейбусный парк № 2» ОАО «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Могилевоблавтотранс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>» путем приобретения 6 автобусов и 2 троллейбусов.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движение по остановочному пункту «Бульвар 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Приберезинский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>» автобусов маршрутов №№7 и 40, микроавтобусов маршрутов №№18 и 56; по остановочному пункту «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Приберезинская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» – автобусов маршрута №18а.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Организован новый автобусный маршрут №21 (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Киселевичи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Приберезинская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>), изменены схемы движения автобусов маршрута №15а, микроавтобусов маршрутов №№41, 43, 70.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 направлением развития </w:t>
      </w:r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области связи</w:t>
      </w: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дальнейшее внедрение технологии пассивных оптических сетей (PON-технологии), которая </w:t>
      </w:r>
      <w:r w:rsidRPr="00B90A5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предоставляет новые возможности для широкополосных сетей доступа – высокую скорость доступа в интернет, 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мультисервисный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доступ, высокое качество услуг. В 2019-м на нее переключен весь многоквартирный жилой сектор.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Удельный вес абонентов, переключенных на IMS-платформу, за 2019 год составил 94,1% 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планируемом в соответствии с Комплексным планом 90,7%.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Организации системы </w:t>
      </w:r>
      <w:r w:rsidRPr="00B90A5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жилищно-коммунального хозяйства</w:t>
      </w:r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продолжили работу по повышению качества предоставляемых услуг, снижению затрат на жилищно-коммунальные услуги, эффективному использованию жилищного фонда, поддержанию и улучшению благоустройства города.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Выполнена замена 129 пассажирских лифтов, введены в эксплуатацию после капитального ремонта более 111 тысяч кв. м общей площади жилых домов, отремонтировано порядка 28 тысяч кв. м кровель и 14,7 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м.п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>. стыковых стеновых панелей, 42 подъезда, в местах общего пользования установлена 1000 светодиодных светильников. Оснащены системами диспетчеризации индивидуальные тепловые пункты 242 многоквартирных жилых домов.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Значительная работа проведена по комплексному благоустройству 48 дворовых территорий. В</w:t>
      </w:r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ыполнены работы по ремонту и установке детского оборудования, скамеек, урн, отремонтированы цоколи и входные группы жилых домов.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На постоянной основе благоустраивались придомовые территории. Предприятия по обслуживанию жилищного фонда Ленинского и Первомайского районов выполнили работы по ремонту 24,9 тысячи кв. м асфальтобетонного покрытия тротуаров, произвели ремонт и установку более 1600 единиц оборудования на детских игровых и спортивных площадках, ремонт 8 площадок для выгула домашних животных.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Проведены работы по улучшению содержания улиц, проездов, объектов внешнего благоустройства. </w:t>
      </w:r>
      <w:proofErr w:type="gram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В целом произведен ремонт 223,4 тыс. кв. м асфальтового покрытия (с учетом дворовых территорий), в том числе 51,5 тыс. кв. м улиц, являющихся продолжением республиканских автомобильных дорог (на участках ул. 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Чонгарской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>, Парковой, Кирпичной, Клубной, Кирова); работы по сплошному асфальтированию ул. Каменского и Шевченко.</w:t>
      </w:r>
      <w:proofErr w:type="gramEnd"/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Выполнен значительный объем работ по озеленению: высажено порядка 3 тыс. кустов и 8,8 тыс. деревьев. Для эстетического оформления улично-дорожной сети произведена посадка порядка 588 тысяч цветов.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Приняты меры по обеспечению надежности систем теплоснабжения, водоснабжения и водоотведения. Произведена замена более 9,8 км тепловых сетей (в том числе в ПИ-исполнении – 9,6 км), 10 неэффективных теплообменников на ЦТП, что позволило снизить расходы тепловой энергии на ее транспортировку в тепловых сетях до уровня 11%.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Значительный объем работ выполняется в водопроводно-канализационном хозяйстве. За 2019-й заменено более 7,5 км водопроводных и 5,5 – канализационных сетей; выполнен капитальный ремонт канализационного коллектора и водопроводной сети по ул. Ванцетти протяженностью 432,1 </w:t>
      </w:r>
      <w:proofErr w:type="spellStart"/>
      <w:r w:rsidRPr="00B90A50">
        <w:rPr>
          <w:rFonts w:ascii="Times New Roman" w:hAnsi="Times New Roman" w:cs="Times New Roman"/>
          <w:color w:val="000000"/>
          <w:spacing w:val="3"/>
          <w:sz w:val="28"/>
          <w:szCs w:val="28"/>
        </w:rPr>
        <w:t>м.п</w:t>
      </w:r>
      <w:proofErr w:type="spellEnd"/>
      <w:r w:rsidRPr="00B90A5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и 420 </w:t>
      </w:r>
      <w:proofErr w:type="spellStart"/>
      <w:r w:rsidRPr="00B90A50">
        <w:rPr>
          <w:rFonts w:ascii="Times New Roman" w:hAnsi="Times New Roman" w:cs="Times New Roman"/>
          <w:color w:val="000000"/>
          <w:spacing w:val="3"/>
          <w:sz w:val="28"/>
          <w:szCs w:val="28"/>
        </w:rPr>
        <w:t>м.п</w:t>
      </w:r>
      <w:proofErr w:type="spellEnd"/>
      <w:r w:rsidRPr="00B90A5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соответственно, проведена реконструкция инженерных сетей по ул. Ванцетти от ул. Парковой до ул. Кирова.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Принятые меры позволили снизить потери воды в сетях с 14,8% в 2016-м до 12% в 2019-м.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целью улучшения работы наружного освещения, сокращения потребления электроэнергии на улицах произведена замена 5743 светильников наружного освещения </w:t>
      </w:r>
      <w:proofErr w:type="gram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более </w:t>
      </w:r>
      <w:proofErr w:type="spell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энергоэффективные</w:t>
      </w:r>
      <w:proofErr w:type="spell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светодиодные.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Актуальным для города является строительство мусороперерабатывающего завода по переработке коммунальных отходов, которое планируется на полигоне промышленных отходов «Вишневка». В настоящее время завершается разработка проектно-сметной документации.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обеспечения населения частного сектора бесперебойным питьевым водоснабжением (в том числе и на противопожарные нужды) филиал «Бобруйский водоканал» УПКП ВКХ «</w:t>
      </w:r>
      <w:proofErr w:type="spellStart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Могилевоблводоканал</w:t>
      </w:r>
      <w:proofErr w:type="spellEnd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реализовал следующие проекты по строительству водопроводных сетей: по пер. Цветочному – протяженностью 419,9 </w:t>
      </w:r>
      <w:proofErr w:type="spellStart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>м.п</w:t>
      </w:r>
      <w:proofErr w:type="spellEnd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.; по пер. Шмидта – 196,3 </w:t>
      </w:r>
      <w:proofErr w:type="spellStart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>м.п</w:t>
      </w:r>
      <w:proofErr w:type="spellEnd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.; по 2-му пер. Глинки – 241,5 </w:t>
      </w:r>
      <w:proofErr w:type="spellStart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>м.п</w:t>
      </w:r>
      <w:proofErr w:type="spellEnd"/>
      <w:r w:rsidRPr="00B90A50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Для подключения домов индивидуальной жилой застройки района Форштадт к системе центральной канализации </w:t>
      </w:r>
      <w:proofErr w:type="gram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осуществляется разработка проектно-сметной документации на строительство канализационно-насос­ной</w:t>
      </w:r>
      <w:proofErr w:type="gram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станции №29 с инженерными сетями в районе дома №76а на ул. Халтурина. Реализация проекта позволит подключить к системе центральной канализации более 500 частных домовладений и юридических лиц.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Продолжается работа по оснащению сектора частной застройки контейнерами для раздельного сбора отходов. В прошлом году приобретена 2861 единица полимерных контейнеров и 3 автомобиля-мусоровоза.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На контроле вопрос капитального ремонта моста через Березину на проспект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Георгиевском и путепровода по </w:t>
      </w:r>
      <w:r w:rsidRPr="00B90A50">
        <w:rPr>
          <w:rFonts w:ascii="Times New Roman" w:hAnsi="Times New Roman" w:cs="Times New Roman"/>
          <w:color w:val="000000"/>
          <w:sz w:val="28"/>
          <w:szCs w:val="28"/>
        </w:rPr>
        <w:t>ул. Крылова.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В течение года реализовывались мероприятия по повышению экономической эффективности и обеспечению стабильного финансового положения субъектов хозяйствования. Организации, имевшие отрицательный финансовый результат, осуществляли комплекс мер по выходу на безубыточную работу. В результате число убыточных организаций снизилось с 31 (на 1.02.2019) до 18 (на 1.01.2020).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целью повышения эффективности использования </w:t>
      </w:r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государственного имущества</w:t>
      </w: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проведено 8 аукционов по продаже права заключения договоров аренды, проданы права аренды 16 объектов недвижимости на сумму 9,2 тысячи руб­лей.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Заключено 11 сделок по продаже объектов недвижимости, находящихся в собственности Бобруйска, на сумму 277,6 тысячи рублей.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Поступление средств от реализации государственного имущества в городской бюджет за год составило 595,3 тысячи рублей, в том числе от сдачи в аренду имущества – 332,8, отчуждения объектов недвижимости – 261,9, а также  в бюджет поступило 620,2 тысячи рублей дивидендов.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1 января 2020 года в целом по городу </w:t>
      </w:r>
      <w:r w:rsidRPr="00B90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обеспечено выполнение всех нормативов государственных социальных стандартов</w:t>
      </w:r>
      <w:r w:rsidRPr="00B90A50">
        <w:rPr>
          <w:rFonts w:ascii="Times New Roman" w:hAnsi="Times New Roman" w:cs="Times New Roman"/>
          <w:color w:val="000000"/>
          <w:sz w:val="28"/>
          <w:szCs w:val="28"/>
        </w:rPr>
        <w:t>, за исключением норматива обеспеченности местами в общедоступных объектах общественного питания (35,7 места на тысячу человек при нормативе 40).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В то же время в течение 2019 года отмечалась положительная динамика по росту показателя за счет открытия (расширения) объектов общественного питания. За год в городе субъектами хозяйствования открыто 37 объектов на 803 посадочных места.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Номинальная начисленная среднемесячная заработная плата </w:t>
      </w: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2019-й составила 874,7 рубля, или 109,3% к уровню 2018-го. В течение года она возросла на </w:t>
      </w: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181 рубль. Темп роста реальной заработной платы, рассчитанный с учетом роста потребительских цен на товары и услуги, составил 103,5% к 2018 году.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>За год трудоустроены на вновь создан</w:t>
      </w:r>
      <w:bookmarkStart w:id="0" w:name="_GoBack"/>
      <w:bookmarkEnd w:id="0"/>
      <w:r w:rsidRPr="00B90A50">
        <w:rPr>
          <w:rFonts w:ascii="Times New Roman" w:hAnsi="Times New Roman" w:cs="Times New Roman"/>
          <w:color w:val="000000"/>
          <w:sz w:val="28"/>
          <w:szCs w:val="28"/>
        </w:rPr>
        <w:t>ные рабочие места более 1000 человек. Уровень регистрируемой безработицы составил 0,4%.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2019 году </w:t>
      </w:r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деятельность системы образования</w:t>
      </w: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города была направлена на обновление содержания и структуры образования, внедрение новых форм организации образовательного процесса, дальнейшую оптимизацию сети образовательных учреждений, выполнение государственных социальных стандартов.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Выполнены мероприятия, предусмотренные комплексным планом ускоренного развития Бобруйска, в том числе приобретены 4 кабинета химии, кабинет биологии. Новым шагом в развитии информационной среды учреждений образования стало открытие STEM-класса в гимназии №3. Это дало импульс в формировании кластерной модели развития робототехники.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Особая роль принадлежит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профориентационной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работе. Профессиональной подготовкой рабочих и служащих на базе учреждений профессионально-технического и среднего специального образования было охвачено 45% школьников 10-11 классов.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Отдельное внимание уделяется работе с талантливыми учащимися. На заключительном этапе республиканской олимпиады по учебным предметам учащиеся города завоевали 9 дипломов, стипендиатами специального фонда Президента Республики Беларусь по социальной поддержке одаренных учащихся и студентов за 2019 год стали 10 школьников.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результатам централизованного тестирования 100-балльные сертификаты по русскому, белорусскому и английскому языкам, физике получили 6 учащихся.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Значительная работа проводится по сохранению и укреплению здоровья 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обучающихся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Особое внимание уделяется физкультурно-оздоровительной и спортивно-массовой деятельности. На базе 7 школ города функционируют 8 классов по 9 видам спорта (хоккей с шайбой,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таэквондо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, греко-римская борьба, теннис настольный, волейбол, легкая атлетика, футбол, плавание, гандбол), 2 школ – реализуются межведомственные профилактические проекты «Здоровый класс» (№1), «Здоровая школа» (№10).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Бобруйске детям и подросткам предоставлены широкие возможности проявить себя и расширить знания через систему дополнительного образования. В более чем 1400 объединениях по интересам занимаются свыше 15 тысяч учащихся.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Выстроена система воспитательной работы, направленная на повышение качества нравственно-правового и гражданско-патриотического воспитания через активное вовлечение школьников во всестороннее изучение истории и культуры. Более 19 тысяч подростков 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вовлечены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общественное движение.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Ведется последовательная работа по реализации задач, направленных на создание условий для развития </w:t>
      </w:r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физической культуры, спорта и туризма.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Подготовка спортивного резерва осуществляется в 10 специализированных учебно-спортивных учреждениях, в которых занимаются более 3,5 тысяч человек.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списочные составы национальных сборных команд Республики Беларусь по различным видам спорта в 2019 году были включены 153 </w:t>
      </w:r>
      <w:proofErr w:type="spellStart"/>
      <w:r w:rsidRPr="00B90A50">
        <w:rPr>
          <w:rFonts w:ascii="Times New Roman" w:hAnsi="Times New Roman" w:cs="Times New Roman"/>
          <w:color w:val="000000"/>
          <w:spacing w:val="-4"/>
          <w:sz w:val="28"/>
          <w:szCs w:val="28"/>
        </w:rPr>
        <w:t>бобруйских</w:t>
      </w:r>
      <w:proofErr w:type="spellEnd"/>
      <w:r w:rsidRPr="00B90A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спортсмена.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официальных международных соревнованиях (чемпионатах, Кубках, первенствах мира и Европы, Европейских играх) наши спортсмены завоевали 82 медали, в том числе 17 золотых, 24 серебряных, 41 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бронзовую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Во II Европейских играх приняли участие 15 спортсменов города по 7 видам спорта (борьба вольная (женская), велосипедный спорт, гребля на байдарках и каноэ, самбо, теннис настольный, футбол пляжный, аэробика спортивная). Они завоевали 5 медалей, в том числе одну золотую медаль (Ирина Курочкина, борьба вольная (женская)), две серебряные (Надежда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Макарченко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гребля на байдарках и каноэ; Андрей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Казусенок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самбо), две бронзовые (Дмитрий Третьяков, гребля на байдарках и каноэ; Владислав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Бурдь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, самбо).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Пять спортсменов-бобруйчан выполнили квалификационные нормативы на участие в ХХХ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I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летних Олимпийских играх 2020 года.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Коммунальное спортивное унитарное предприятие «Бобруйский футбольный клуб «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Белшина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» стало победителем чемпионата Республики Беларусь по футболу среди команд первой лиги сезона 2019 года, тем самым обеспечив выход клуба в Высшую лигу.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рамках развития спортивной инфраструктуры для любителей экстремальных видов спорта на стадионе «Спартак» введен в эксплуатацию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скейт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-парк.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Экспорт туристических услуг по итогам 2019 года составил 2219,3 тысячи долларов.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Качество медицинской помощи является главной целью функционирования системы здравоохранения города.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2019 году за счет средств республиканского и городского бюджета учреждениям здравоохранения Бобруйска поставлено оборудование почти на 7 миллионов рублей. Приобретены рентгеновский компьютерный томограф, аппарат ангиографический, магнитно-резонансный томограф и аппарат рентгеновский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маммографический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«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Маммоскан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», аппараты искусственной вентиляции легких и ингаляций анестезии с искусственной вентиляцией легких, система видеонаблюдения за пациентом... Для развития информатизации отрасли в учреждения здравоохранения закуплены 212 компьютеров.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Продолжается работа в Единой республиканской системе телемедицинского консультирования в режиме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off-line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, что позволило провести более 300 телемедицинских консультаций с ведущими областными учреждениями здравоохранения и республиканскими научно-практическими центрами.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2019 году выполнялись работы по подготовке помещений в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Бобруйской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городской больнице скорой медицинской помощи им. В.О.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Морзона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для размещения ангиографического комплекса, продолжена реконструкция лечебного корпуса детской больницы с детской поликлиникой.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Благодаря обновлению материально-технической базы организаций здравоохранения внедряются и развиваются новые технологии диагностики и лечения. В отделении травматологии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Бобруйской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центральной больницы впервые выполнены высокотехнологичные оперативные вмешательства по остеосинтезу лучевой кости, в отделении хирургии –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видеоассистированные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операции и 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другое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Одной из важнейших составляющих качества жизни является доступная </w:t>
      </w:r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культурная среда</w:t>
      </w: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В 2019 году Бобруй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ск встр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ечал участников и гостей XV международного фестиваля народного творчества «Венок дружбы», международного пленэра по керамике «АРТ-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Жыжаль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», республиканского фестиваля национальной драматургии им. В.И. Дунина-Марцинкевича, республиканского конкурса юных пианистов им. В.В. Оловникова.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В детских школах искусств на 23 отделениях обучаются 1935 учеников. В клубных учреждениях культуры функционируют 84 клубных формирования с количеством участников 1890 человек. 74 творческих коллектива удостоены почетных званий «заслуженный», «народный» и «образцовый». 7 из них носят почетное звание «Заслуженный любительский коллектив Республики Беларусь». В городе работают 297 мастеров народного творчества.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2019 году на главной концертной площадке появился современный LED-экран, который подарили партнеры из города </w:t>
      </w:r>
      <w:proofErr w:type="spell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Хэньян</w:t>
      </w:r>
      <w:proofErr w:type="spell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Китайской Народной Республики.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постоянном контроле горисполкома находилось выполнение долгосрочных государственных программ в области </w:t>
      </w:r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социальной защиты и содействия занятости населения, создания </w:t>
      </w:r>
      <w:proofErr w:type="spellStart"/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безбарьерной</w:t>
      </w:r>
      <w:proofErr w:type="spellEnd"/>
      <w:r w:rsidRPr="00B90A5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среды жизнедеятельности физически ослабленных лиц, здоровья народа и демографической безопасности. </w:t>
      </w: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Мероприятия, запланированные на 2019 год, выполнены.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Оборудовано 13 объектов социальной инфраструктуры для свободного </w:t>
      </w:r>
      <w:proofErr w:type="gramStart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доступа</w:t>
      </w:r>
      <w:proofErr w:type="gramEnd"/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физически ослабленных лиц.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создание безопасных условий проживания ветеранов Великой Отечественной войны, инвалидов и лиц пожилого возраста израсходовано 16,2 тысячи рублей из средств городского бюджета.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Государственную адресную социальную помощь получили 14,4 тысячи граждан на сумму 3500 тысяч рублей, в том числе бесплатным питанием обеспечены 522 ребенка первых двух лет жизни на сумму 668,6 тысячи рублей, 1846 многодетным семьям оказана материальная помощь на подготовку детей к школе. 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системе социальной защиты Бобруйска на 1 января 2020 года состоят на учете 56,8 тысячи получателей пенсий различных видов, или 26,2% от численности населения города. Средний размер пенсии составил 430,59 рубля.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 исполнение Декрета Президента Республики Беларусь от 2 апреля 2015 №3 «О содействии занятости населения» проводилась работа по вовлечению незанятого населения в экономику города, легализации трудовой деятельности и стимулированию </w:t>
      </w:r>
      <w:proofErr w:type="spellStart"/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самозанятости</w:t>
      </w:r>
      <w:proofErr w:type="spellEnd"/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2"/>
          <w:sz w:val="28"/>
          <w:szCs w:val="28"/>
        </w:rPr>
        <w:t>С целью укрепления законности и правопорядка, противодействия негативным тенденциям правоохранительные органы и иные субъекты профилактики проводили последовательную и целенаправленную работу.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2019 года </w:t>
      </w:r>
      <w:proofErr w:type="gramStart"/>
      <w:r w:rsidRPr="00B90A50">
        <w:rPr>
          <w:rFonts w:ascii="Times New Roman" w:hAnsi="Times New Roman" w:cs="Times New Roman"/>
          <w:color w:val="000000"/>
          <w:sz w:val="28"/>
          <w:szCs w:val="28"/>
        </w:rPr>
        <w:t>криминогенная обстановка</w:t>
      </w:r>
      <w:proofErr w:type="gramEnd"/>
      <w:r w:rsidRPr="00B90A50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города стабильная. Меньше зарегистрировано тяжких и особо тяжких преступлений, снизилось число преступлений, совершенных в общественных местах.</w:t>
      </w:r>
    </w:p>
    <w:p w:rsidR="00B90A50" w:rsidRPr="00B90A50" w:rsidRDefault="00B90A50" w:rsidP="00B90A50">
      <w:pPr>
        <w:autoSpaceDE w:val="0"/>
        <w:autoSpaceDN w:val="0"/>
        <w:adjustRightInd w:val="0"/>
        <w:spacing w:after="0" w:line="200" w:lineRule="atLeast"/>
        <w:ind w:firstLine="17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Несмотря на ряд положительных изменений в </w:t>
      </w:r>
      <w:proofErr w:type="gramStart"/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>криминогенной обстановке</w:t>
      </w:r>
      <w:proofErr w:type="gramEnd"/>
      <w:r w:rsidRPr="00B90A50">
        <w:rPr>
          <w:rFonts w:ascii="Times New Roman" w:hAnsi="Times New Roman" w:cs="Times New Roman"/>
          <w:color w:val="000000"/>
          <w:spacing w:val="1"/>
          <w:sz w:val="28"/>
          <w:szCs w:val="28"/>
        </w:rPr>
        <w:t>, по отдельным направлениям она остается сложной. В 3 раза выросло количество преступлений в сфере высоких технологий, совершенных в состоянии алкогольного опьянения, ранее судимыми, в сфере семейно-бытовых отношений.</w:t>
      </w:r>
    </w:p>
    <w:p w:rsidR="00B90A50" w:rsidRPr="00B90A50" w:rsidRDefault="00B90A50" w:rsidP="00B90A50">
      <w:pPr>
        <w:pStyle w:val="a5"/>
        <w:rPr>
          <w:rFonts w:ascii="Times New Roman" w:hAnsi="Times New Roman" w:cs="Times New Roman"/>
          <w:spacing w:val="-1"/>
          <w:sz w:val="28"/>
          <w:szCs w:val="28"/>
        </w:rPr>
      </w:pPr>
    </w:p>
    <w:p w:rsidR="000B2EEA" w:rsidRPr="00B90A50" w:rsidRDefault="00B90A50">
      <w:pPr>
        <w:rPr>
          <w:rFonts w:ascii="Times New Roman" w:hAnsi="Times New Roman" w:cs="Times New Roman"/>
          <w:sz w:val="28"/>
          <w:szCs w:val="28"/>
        </w:rPr>
      </w:pPr>
    </w:p>
    <w:sectPr w:rsidR="000B2EEA" w:rsidRPr="00B90A50" w:rsidSect="005F4585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panose1 w:val="00000000000000000000"/>
    <w:charset w:val="00"/>
    <w:family w:val="modern"/>
    <w:notTrueType/>
    <w:pitch w:val="variable"/>
    <w:sig w:usb0="E00002EF" w:usb1="4800205B" w:usb2="14A00020" w:usb3="00000000" w:csb0="0000019F" w:csb1="00000000"/>
  </w:font>
  <w:font w:name="Roboto Lt">
    <w:panose1 w:val="00000000000000000000"/>
    <w:charset w:val="00"/>
    <w:family w:val="modern"/>
    <w:notTrueType/>
    <w:pitch w:val="variable"/>
    <w:sig w:usb0="E00002EF" w:usb1="5000205B" w:usb2="00000020" w:usb3="00000000" w:csb0="0000019F" w:csb1="00000000"/>
  </w:font>
  <w:font w:name="Minion Pro Med Disp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50"/>
    <w:rsid w:val="004804F2"/>
    <w:rsid w:val="00B90A50"/>
    <w:rsid w:val="00C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90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Буквица внутри"/>
    <w:basedOn w:val="a3"/>
    <w:uiPriority w:val="99"/>
    <w:rsid w:val="00B90A50"/>
    <w:pPr>
      <w:spacing w:line="200" w:lineRule="atLeast"/>
      <w:jc w:val="both"/>
    </w:pPr>
    <w:rPr>
      <w:rFonts w:ascii="Roboto" w:hAnsi="Roboto" w:cs="Roboto"/>
      <w:sz w:val="18"/>
      <w:szCs w:val="18"/>
    </w:rPr>
  </w:style>
  <w:style w:type="paragraph" w:customStyle="1" w:styleId="a5">
    <w:name w:val="[основной абзац]"/>
    <w:basedOn w:val="a3"/>
    <w:uiPriority w:val="99"/>
    <w:rsid w:val="00B90A50"/>
    <w:pPr>
      <w:spacing w:line="200" w:lineRule="atLeast"/>
      <w:ind w:firstLine="170"/>
      <w:jc w:val="both"/>
    </w:pPr>
    <w:rPr>
      <w:rFonts w:ascii="Roboto" w:hAnsi="Roboto" w:cs="Roboto"/>
      <w:sz w:val="18"/>
      <w:szCs w:val="18"/>
    </w:rPr>
  </w:style>
  <w:style w:type="paragraph" w:customStyle="1" w:styleId="a6">
    <w:name w:val="Альтернативный подзаголовок"/>
    <w:basedOn w:val="a3"/>
    <w:uiPriority w:val="99"/>
    <w:rsid w:val="00B90A50"/>
    <w:pPr>
      <w:spacing w:line="460" w:lineRule="atLeast"/>
    </w:pPr>
    <w:rPr>
      <w:rFonts w:ascii="Roboto Lt" w:hAnsi="Roboto Lt" w:cs="Roboto Lt"/>
      <w:sz w:val="40"/>
      <w:szCs w:val="40"/>
    </w:rPr>
  </w:style>
  <w:style w:type="character" w:customStyle="1" w:styleId="2">
    <w:name w:val="Буквица 2 строки"/>
    <w:uiPriority w:val="99"/>
    <w:rsid w:val="00B90A50"/>
    <w:rPr>
      <w:rFonts w:ascii="Roboto" w:hAnsi="Roboto" w:cs="Roboto"/>
      <w:color w:val="009C3D"/>
      <w:spacing w:val="17"/>
      <w:w w:val="100"/>
      <w:position w:val="0"/>
      <w:sz w:val="17"/>
      <w:szCs w:val="17"/>
      <w:u w:val="none"/>
      <w:vertAlign w:val="baseline"/>
    </w:rPr>
  </w:style>
  <w:style w:type="paragraph" w:customStyle="1" w:styleId="a7">
    <w:name w:val="Основной заголовок"/>
    <w:basedOn w:val="a3"/>
    <w:uiPriority w:val="99"/>
    <w:rsid w:val="00B90A50"/>
    <w:pPr>
      <w:spacing w:line="740" w:lineRule="atLeast"/>
    </w:pPr>
    <w:rPr>
      <w:rFonts w:ascii="Roboto" w:hAnsi="Roboto" w:cs="Roboto"/>
      <w:b/>
      <w:bCs/>
      <w:sz w:val="96"/>
      <w:szCs w:val="96"/>
    </w:rPr>
  </w:style>
  <w:style w:type="paragraph" w:styleId="a8">
    <w:name w:val="Subtitle"/>
    <w:basedOn w:val="a3"/>
    <w:link w:val="a9"/>
    <w:uiPriority w:val="99"/>
    <w:qFormat/>
    <w:rsid w:val="00B90A50"/>
    <w:pPr>
      <w:spacing w:line="460" w:lineRule="atLeast"/>
    </w:pPr>
    <w:rPr>
      <w:rFonts w:ascii="Minion Pro Med Disp" w:hAnsi="Minion Pro Med Disp" w:cs="Minion Pro Med Disp"/>
      <w:i/>
      <w:iCs/>
      <w:sz w:val="40"/>
      <w:szCs w:val="40"/>
    </w:rPr>
  </w:style>
  <w:style w:type="character" w:customStyle="1" w:styleId="a9">
    <w:name w:val="Подзаголовок Знак"/>
    <w:basedOn w:val="a0"/>
    <w:link w:val="a8"/>
    <w:uiPriority w:val="99"/>
    <w:rsid w:val="00B90A50"/>
    <w:rPr>
      <w:rFonts w:ascii="Minion Pro Med Disp" w:hAnsi="Minion Pro Med Disp" w:cs="Minion Pro Med Disp"/>
      <w:i/>
      <w:iCs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90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Буквица внутри"/>
    <w:basedOn w:val="a3"/>
    <w:uiPriority w:val="99"/>
    <w:rsid w:val="00B90A50"/>
    <w:pPr>
      <w:spacing w:line="200" w:lineRule="atLeast"/>
      <w:jc w:val="both"/>
    </w:pPr>
    <w:rPr>
      <w:rFonts w:ascii="Roboto" w:hAnsi="Roboto" w:cs="Roboto"/>
      <w:sz w:val="18"/>
      <w:szCs w:val="18"/>
    </w:rPr>
  </w:style>
  <w:style w:type="paragraph" w:customStyle="1" w:styleId="a5">
    <w:name w:val="[основной абзац]"/>
    <w:basedOn w:val="a3"/>
    <w:uiPriority w:val="99"/>
    <w:rsid w:val="00B90A50"/>
    <w:pPr>
      <w:spacing w:line="200" w:lineRule="atLeast"/>
      <w:ind w:firstLine="170"/>
      <w:jc w:val="both"/>
    </w:pPr>
    <w:rPr>
      <w:rFonts w:ascii="Roboto" w:hAnsi="Roboto" w:cs="Roboto"/>
      <w:sz w:val="18"/>
      <w:szCs w:val="18"/>
    </w:rPr>
  </w:style>
  <w:style w:type="paragraph" w:customStyle="1" w:styleId="a6">
    <w:name w:val="Альтернативный подзаголовок"/>
    <w:basedOn w:val="a3"/>
    <w:uiPriority w:val="99"/>
    <w:rsid w:val="00B90A50"/>
    <w:pPr>
      <w:spacing w:line="460" w:lineRule="atLeast"/>
    </w:pPr>
    <w:rPr>
      <w:rFonts w:ascii="Roboto Lt" w:hAnsi="Roboto Lt" w:cs="Roboto Lt"/>
      <w:sz w:val="40"/>
      <w:szCs w:val="40"/>
    </w:rPr>
  </w:style>
  <w:style w:type="character" w:customStyle="1" w:styleId="2">
    <w:name w:val="Буквица 2 строки"/>
    <w:uiPriority w:val="99"/>
    <w:rsid w:val="00B90A50"/>
    <w:rPr>
      <w:rFonts w:ascii="Roboto" w:hAnsi="Roboto" w:cs="Roboto"/>
      <w:color w:val="009C3D"/>
      <w:spacing w:val="17"/>
      <w:w w:val="100"/>
      <w:position w:val="0"/>
      <w:sz w:val="17"/>
      <w:szCs w:val="17"/>
      <w:u w:val="none"/>
      <w:vertAlign w:val="baseline"/>
    </w:rPr>
  </w:style>
  <w:style w:type="paragraph" w:customStyle="1" w:styleId="a7">
    <w:name w:val="Основной заголовок"/>
    <w:basedOn w:val="a3"/>
    <w:uiPriority w:val="99"/>
    <w:rsid w:val="00B90A50"/>
    <w:pPr>
      <w:spacing w:line="740" w:lineRule="atLeast"/>
    </w:pPr>
    <w:rPr>
      <w:rFonts w:ascii="Roboto" w:hAnsi="Roboto" w:cs="Roboto"/>
      <w:b/>
      <w:bCs/>
      <w:sz w:val="96"/>
      <w:szCs w:val="96"/>
    </w:rPr>
  </w:style>
  <w:style w:type="paragraph" w:styleId="a8">
    <w:name w:val="Subtitle"/>
    <w:basedOn w:val="a3"/>
    <w:link w:val="a9"/>
    <w:uiPriority w:val="99"/>
    <w:qFormat/>
    <w:rsid w:val="00B90A50"/>
    <w:pPr>
      <w:spacing w:line="460" w:lineRule="atLeast"/>
    </w:pPr>
    <w:rPr>
      <w:rFonts w:ascii="Minion Pro Med Disp" w:hAnsi="Minion Pro Med Disp" w:cs="Minion Pro Med Disp"/>
      <w:i/>
      <w:iCs/>
      <w:sz w:val="40"/>
      <w:szCs w:val="40"/>
    </w:rPr>
  </w:style>
  <w:style w:type="character" w:customStyle="1" w:styleId="a9">
    <w:name w:val="Подзаголовок Знак"/>
    <w:basedOn w:val="a0"/>
    <w:link w:val="a8"/>
    <w:uiPriority w:val="99"/>
    <w:rsid w:val="00B90A50"/>
    <w:rPr>
      <w:rFonts w:ascii="Minion Pro Med Disp" w:hAnsi="Minion Pro Med Disp" w:cs="Minion Pro Med Disp"/>
      <w:i/>
      <w:i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3563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2020-03-13T12:24:00Z</dcterms:created>
  <dcterms:modified xsi:type="dcterms:W3CDTF">2020-03-13T12:29:00Z</dcterms:modified>
</cp:coreProperties>
</file>