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79.99999999999994" w:lineRule="auto"/>
        <w:jc w:val="center"/>
        <w:rPr>
          <w:rFonts w:ascii="Times New Roman" w:cs="Times New Roman" w:eastAsia="Times New Roman" w:hAnsi="Times New Roman"/>
          <w:b w:val="1"/>
          <w:smallCaps w:val="0"/>
          <w:sz w:val="26"/>
          <w:szCs w:val="26"/>
        </w:rPr>
      </w:pPr>
      <w:r w:rsidDel="00000000" w:rsidR="00000000" w:rsidRPr="00000000">
        <w:rPr>
          <w:rFonts w:ascii="Times New Roman" w:cs="Times New Roman" w:eastAsia="Times New Roman" w:hAnsi="Times New Roman"/>
          <w:b w:val="1"/>
          <w:smallCaps w:val="0"/>
          <w:sz w:val="26"/>
          <w:szCs w:val="26"/>
          <w:rtl w:val="0"/>
        </w:rPr>
        <w:t xml:space="preserve">КОММЕНТАРИЙ МНС К ПОЛОЖЕНИЯМ ЗАКОНА РЕСПУБЛИКИ БЕЛАРУСЬ</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79.99999999999994" w:lineRule="auto"/>
        <w:jc w:val="center"/>
        <w:rPr>
          <w:rFonts w:ascii="Times New Roman" w:cs="Times New Roman" w:eastAsia="Times New Roman" w:hAnsi="Times New Roman"/>
          <w:b w:val="1"/>
          <w:smallCaps w:val="0"/>
          <w:sz w:val="26"/>
          <w:szCs w:val="26"/>
        </w:rPr>
      </w:pPr>
      <w:r w:rsidDel="00000000" w:rsidR="00000000" w:rsidRPr="00000000">
        <w:rPr>
          <w:rFonts w:ascii="Times New Roman" w:cs="Times New Roman" w:eastAsia="Times New Roman" w:hAnsi="Times New Roman"/>
          <w:b w:val="1"/>
          <w:smallCaps w:val="0"/>
          <w:sz w:val="26"/>
          <w:szCs w:val="26"/>
          <w:rtl w:val="0"/>
        </w:rPr>
        <w:t xml:space="preserve">ОТ 22 АПРЕЛЯ 2024 Г. № 365-З «ОБ ИЗМЕНЕНИИ ЗАКОНОВ ПО ВОПРОСАМ ПРЕДПРИНИМАТЕЛЬСКОЙ ДЕЯТЕЛЬНОСТИ»</w:t>
      </w:r>
    </w:p>
    <w:bookmarkStart w:colFirst="0" w:colLast="0" w:name="30j0zll" w:id="0"/>
    <w:bookmarkEnd w:id="0"/>
    <w:bookmarkStart w:colFirst="0" w:colLast="0" w:name="1fob9te" w:id="1"/>
    <w:bookmarkEnd w:id="1"/>
    <w:bookmarkStart w:colFirst="0" w:colLast="0" w:name="3znysh7" w:id="2"/>
    <w:bookmarkEnd w:id="2"/>
    <w:bookmarkStart w:colFirst="0" w:colLast="0" w:name="gjdgxs" w:id="3"/>
    <w:bookmarkEnd w:id="3"/>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Times New Roman" w:cs="Times New Roman" w:eastAsia="Times New Roman" w:hAnsi="Times New Roman"/>
          <w:smallCaps w:val="0"/>
          <w:sz w:val="26"/>
          <w:szCs w:val="26"/>
        </w:rPr>
      </w:pPr>
      <w:r w:rsidDel="00000000" w:rsidR="00000000" w:rsidRPr="00000000">
        <w:rPr>
          <w:rFonts w:ascii="Times New Roman" w:cs="Times New Roman" w:eastAsia="Times New Roman" w:hAnsi="Times New Roman"/>
          <w:smallCaps w:val="0"/>
          <w:sz w:val="26"/>
          <w:szCs w:val="26"/>
          <w:rtl w:val="0"/>
        </w:rPr>
        <w:t xml:space="preserve"> </w:t>
      </w:r>
    </w:p>
    <w:bookmarkStart w:colFirst="0" w:colLast="0" w:name="2et92p0" w:id="4"/>
    <w:bookmarkEnd w:id="4"/>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 в упрощенном порядке, определенном Положением о создании индивидуальным предпринимателем коммерческой организации, учреждаемой одним лицом, согласно приложению к Закону Республики Беларусь от 22 апреля 2024 г. № 365-З "Об  изменении законов по вопросам предпринимательской деятельности" (далее соответственно – Закон N 365-З, Положение).</w:t>
      </w:r>
    </w:p>
    <w:bookmarkStart w:colFirst="0" w:colLast="0" w:name="tyjcwt" w:id="5"/>
    <w:bookmarkEnd w:id="5"/>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Пунктом 10 Положения определено, что права и обязанности ИП, возникшие в связи с осуществлением им предпринимательской деятельности,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w:t>
      </w:r>
    </w:p>
    <w:bookmarkStart w:colFirst="0" w:colLast="0" w:name="3dy6vkm" w:id="6"/>
    <w:bookmarkEnd w:id="6"/>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Законе № 365-З и Положении содержатся нормы, регулирующие налоговые последствия перехода прав и обязанностей ИП к созданной им коммерческой организации, вступающие в силу с 1 октября 2024 г.</w:t>
      </w:r>
    </w:p>
    <w:bookmarkStart w:colFirst="0" w:colLast="0" w:name="1t3h5sf" w:id="7"/>
    <w:bookmarkEnd w:id="7"/>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 статьей 16 Закона № 365-З конкретизирован порядок исчисления коммерческой организацией 7-летнего периода применения налоговых льгот (в частности, по налогу на прибыль, налогу на недвижимость), предусмотренных Декретом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 в зависимости от периода создания ИП в упрощенном порядке коммерческой организации, а именно:</w:t>
      </w:r>
    </w:p>
    <w:bookmarkStart w:colFirst="0" w:colLast="0" w:name="4d34og8" w:id="8"/>
    <w:bookmarkEnd w:id="8"/>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 Необходимо отметить, что это правило не распространяется на коммерческую организацию, созданную ИП до 31 декабря 2025 г. (включительно), реорганизованную путем присоединения к ней другого юридического лица;</w:t>
      </w:r>
    </w:p>
    <w:bookmarkStart w:colFirst="0" w:colLast="0" w:name="2s8eyo1" w:id="9"/>
    <w:bookmarkEnd w:id="9"/>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bookmarkStart w:colFirst="0" w:colLast="0" w:name="17dp8vu" w:id="10"/>
    <w:bookmarkEnd w:id="10"/>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Согласно пункту 15 Положения:</w:t>
      </w:r>
    </w:p>
    <w:bookmarkStart w:colFirst="0" w:colLast="0" w:name="3rdcrjn" w:id="11"/>
    <w:bookmarkEnd w:id="11"/>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товары (работы, услуги), имущественные права, иные активы, денежные средства,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для целей исчисления налога на прибыль, налога при упрощенной системе налогообложения (далее - УСН), единого налога для производителей сельскохозяйственной продукции;</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br w:type="page"/>
      </w:r>
      <w:bookmarkStart w:colFirst="0" w:colLast="0" w:name="26in1rg" w:id="12"/>
      <w:bookmarkEnd w:id="12"/>
      <w:r w:rsidDel="00000000" w:rsidR="00000000" w:rsidRPr="00000000">
        <w:rPr>
          <w:rFonts w:ascii="Times New Roman" w:cs="Times New Roman" w:eastAsia="Times New Roman" w:hAnsi="Times New Roman"/>
          <w:smallCaps w:val="0"/>
          <w:sz w:val="28"/>
          <w:szCs w:val="28"/>
          <w:rtl w:val="0"/>
        </w:rPr>
        <w:t xml:space="preserve">- получение коммерческой организацией от ИП денежных средств (в связи с переходом к ней его прав и обязанностей), не включаемых в соответствии с пунктом 15 Положения в налоговую базу налога при УСН, не лишает эту организацию права применения УСН по основаниям подпункта 2.1.6 пункта 2 статьи 324 Налогового кодекса Республики Беларусь (далее - НК).</w:t>
      </w:r>
    </w:p>
    <w:bookmarkStart w:colFirst="0" w:colLast="0" w:name="lnxbz9" w:id="13"/>
    <w:bookmarkEnd w:id="13"/>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120" w:line="300" w:lineRule="auto"/>
        <w:ind w:firstLine="53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w:t>
      </w:r>
      <w:bookmarkStart w:colFirst="0" w:colLast="0" w:name="35nkun2" w:id="14"/>
      <w:bookmarkEnd w:id="14"/>
      <w:r w:rsidDel="00000000" w:rsidR="00000000" w:rsidRPr="00000000">
        <w:rPr>
          <w:rFonts w:ascii="Times New Roman" w:cs="Times New Roman" w:eastAsia="Times New Roman" w:hAnsi="Times New Roman"/>
          <w:i w:val="1"/>
          <w:smallCaps w:val="0"/>
          <w:sz w:val="28"/>
          <w:szCs w:val="28"/>
          <w:rtl w:val="0"/>
        </w:rPr>
        <w:t xml:space="preserve">Примечание. Положениями </w:t>
      </w:r>
      <w:r w:rsidDel="00000000" w:rsidR="00000000" w:rsidRPr="00000000">
        <w:rPr>
          <w:rFonts w:ascii="Times New Roman" w:cs="Times New Roman" w:eastAsia="Times New Roman" w:hAnsi="Times New Roman"/>
          <w:smallCaps w:val="0"/>
          <w:sz w:val="28"/>
          <w:szCs w:val="28"/>
          <w:rtl w:val="0"/>
        </w:rPr>
        <w:t xml:space="preserve">подпункта 2.1.6 пункта 2 статьи 324</w:t>
      </w:r>
      <w:r w:rsidDel="00000000" w:rsidR="00000000" w:rsidRPr="00000000">
        <w:rPr>
          <w:rFonts w:ascii="Times New Roman" w:cs="Times New Roman" w:eastAsia="Times New Roman" w:hAnsi="Times New Roman"/>
          <w:i w:val="1"/>
          <w:smallCaps w:val="0"/>
          <w:sz w:val="28"/>
          <w:szCs w:val="28"/>
          <w:rtl w:val="0"/>
        </w:rPr>
        <w:t xml:space="preserve"> НК определено, что организации, получившие денежные средства, не включаемые ими в налоговую базу налога при УСН по основаниям, иным чем предусмотрены </w:t>
      </w:r>
      <w:r w:rsidDel="00000000" w:rsidR="00000000" w:rsidRPr="00000000">
        <w:rPr>
          <w:rFonts w:ascii="Times New Roman" w:cs="Times New Roman" w:eastAsia="Times New Roman" w:hAnsi="Times New Roman"/>
          <w:smallCaps w:val="0"/>
          <w:sz w:val="28"/>
          <w:szCs w:val="28"/>
          <w:rtl w:val="0"/>
        </w:rPr>
        <w:t xml:space="preserve">НК</w:t>
      </w:r>
      <w:r w:rsidDel="00000000" w:rsidR="00000000" w:rsidRPr="00000000">
        <w:rPr>
          <w:rFonts w:ascii="Times New Roman" w:cs="Times New Roman" w:eastAsia="Times New Roman" w:hAnsi="Times New Roman"/>
          <w:i w:val="1"/>
          <w:smallCaps w:val="0"/>
          <w:sz w:val="28"/>
          <w:szCs w:val="28"/>
          <w:rtl w:val="0"/>
        </w:rPr>
        <w:t xml:space="preserve">, 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w:t>
      </w:r>
    </w:p>
    <w:bookmarkStart w:colFirst="0" w:colLast="0" w:name="1ksv4uv" w:id="15"/>
    <w:bookmarkEnd w:id="15"/>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12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w:t>
      </w:r>
      <w:bookmarkStart w:colFirst="0" w:colLast="0" w:name="44sinio" w:id="16"/>
      <w:bookmarkEnd w:id="16"/>
      <w:r w:rsidDel="00000000" w:rsidR="00000000" w:rsidRPr="00000000">
        <w:rPr>
          <w:rFonts w:ascii="Times New Roman" w:cs="Times New Roman" w:eastAsia="Times New Roman" w:hAnsi="Times New Roman"/>
          <w:smallCaps w:val="0"/>
          <w:sz w:val="28"/>
          <w:szCs w:val="28"/>
          <w:rtl w:val="0"/>
        </w:rPr>
        <w:t xml:space="preserve">Подпунктом 23.1 пункта 23 Положения предусмотрено, что коммерческая организация в связи с переходом к ней прав и обязанностей ИП не учитывает при исчислении налога при УСН:</w:t>
      </w:r>
    </w:p>
    <w:bookmarkStart w:colFirst="0" w:colLast="0" w:name="2jxsxqh" w:id="17"/>
    <w:bookmarkEnd w:id="17"/>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12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поступающие ей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bookmarkStart w:colFirst="0" w:colLast="0" w:name="z337ya" w:id="18"/>
    <w:bookmarkEnd w:id="18"/>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before="120" w:line="300" w:lineRule="auto"/>
        <w:ind w:firstLine="53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w:t>
      </w:r>
      <w:bookmarkStart w:colFirst="0" w:colLast="0" w:name="3j2qqm3" w:id="19"/>
      <w:bookmarkEnd w:id="19"/>
      <w:r w:rsidDel="00000000" w:rsidR="00000000" w:rsidRPr="00000000">
        <w:rPr>
          <w:rFonts w:ascii="Times New Roman" w:cs="Times New Roman" w:eastAsia="Times New Roman" w:hAnsi="Times New Roman"/>
          <w:i w:val="1"/>
          <w:smallCaps w:val="0"/>
          <w:sz w:val="28"/>
          <w:szCs w:val="28"/>
          <w:rtl w:val="0"/>
        </w:rPr>
        <w:t xml:space="preserve">Примечание.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w:t>
      </w:r>
    </w:p>
    <w:bookmarkStart w:colFirst="0" w:colLast="0" w:name="1y810tw" w:id="20"/>
    <w:bookmarkEnd w:id="20"/>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На основании </w:t>
      </w:r>
      <w:r w:rsidDel="00000000" w:rsidR="00000000" w:rsidRPr="00000000">
        <w:rPr>
          <w:rFonts w:ascii="Times New Roman" w:cs="Times New Roman" w:eastAsia="Times New Roman" w:hAnsi="Times New Roman"/>
          <w:smallCaps w:val="0"/>
          <w:sz w:val="28"/>
          <w:szCs w:val="28"/>
          <w:rtl w:val="0"/>
        </w:rPr>
        <w:t xml:space="preserve">части второй пункта 22</w:t>
      </w:r>
      <w:r w:rsidDel="00000000" w:rsidR="00000000" w:rsidRPr="00000000">
        <w:rPr>
          <w:rFonts w:ascii="Times New Roman" w:cs="Times New Roman" w:eastAsia="Times New Roman" w:hAnsi="Times New Roman"/>
          <w:i w:val="1"/>
          <w:smallCaps w:val="0"/>
          <w:sz w:val="28"/>
          <w:szCs w:val="28"/>
          <w:rtl w:val="0"/>
        </w:rPr>
        <w:t xml:space="preserve"> 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bookmarkStart w:colFirst="0" w:colLast="0" w:name="4i7ojhp" w:id="21"/>
    <w:bookmarkEnd w:id="21"/>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before="12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w:t>
      </w:r>
      <w:bookmarkStart w:colFirst="0" w:colLast="0" w:name="2xcytpi" w:id="22"/>
      <w:bookmarkEnd w:id="22"/>
      <w:r w:rsidDel="00000000" w:rsidR="00000000" w:rsidRPr="00000000">
        <w:rPr>
          <w:rFonts w:ascii="Times New Roman" w:cs="Times New Roman" w:eastAsia="Times New Roman" w:hAnsi="Times New Roman"/>
          <w:smallCaps w:val="0"/>
          <w:sz w:val="28"/>
          <w:szCs w:val="28"/>
          <w:rtl w:val="0"/>
        </w:rPr>
        <w:t xml:space="preserve">- возвращаемые ей денежные средства, ранее перечисленные (предоставленные) ИП. Получение коммерческой организацией таких денежных средств, не формирующих в соответствии с Положением налоговую базу налога при УСН, не лишает эту организацию права применения УСН по основаниям подпункта 2.1.6 пункта 2 статьи 324 НК.</w:t>
      </w:r>
    </w:p>
    <w:bookmarkStart w:colFirst="0" w:colLast="0" w:name="1ci93xb" w:id="23"/>
    <w:bookmarkEnd w:id="23"/>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Одновременно подпунктом 23.2 пункта 23, пунктом 24 Положения установлен порядок уплаты коммерческой организацией налогов по сделкам, совершенным ИП, но не учтенным им при налогообложении до перехода его прав и обязанностей к этой организации, а именно:</w:t>
      </w:r>
    </w:p>
    <w:bookmarkStart w:colFirst="0" w:colLast="0" w:name="3whwml4" w:id="24"/>
    <w:bookmarkEnd w:id="24"/>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ИП получена предварительная оплата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bookmarkStart w:colFirst="0" w:colLast="0" w:name="2bn6wsx" w:id="25"/>
    <w:bookmarkEnd w:id="25"/>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before="120" w:line="279.99999999999994"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w:t>
      </w:r>
    </w:p>
    <w:bookmarkStart w:colFirst="0" w:colLast="0" w:name="qsh70q" w:id="26"/>
    <w:bookmarkEnd w:id="26"/>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w:t>
      </w:r>
    </w:p>
    <w:bookmarkStart w:colFirst="0" w:colLast="0" w:name="3as4poj" w:id="27"/>
    <w:bookmarkEnd w:id="27"/>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если ИП произведена отгрузка товаров (выполнение работ, оказание услуг), передача имущественных прав (или у ИП возник внереализационный доход),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bookmarkStart w:colFirst="0" w:colLast="0" w:name="1pxezwc" w:id="28"/>
    <w:bookmarkEnd w:id="28"/>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 мере поступления оплаты за такие товары (работы, услуги), имущественные права (получения такого внереализационного дохода) в календарном году, в котором имел место переход прав и обязанностей ИП к коммерческой организации;</w:t>
      </w:r>
    </w:p>
    <w:bookmarkStart w:colFirst="0" w:colLast="0" w:name="49x2ik5" w:id="29"/>
    <w:bookmarkEnd w:id="29"/>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последнее число указанного календарного года - если оплата не поступила (доход не получен).</w:t>
      </w:r>
    </w:p>
    <w:bookmarkStart w:colFirst="0" w:colLast="0" w:name="2p2csry" w:id="30"/>
    <w:bookmarkEnd w:id="30"/>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этом коммерческая организация для целей исчисления налога на прибыль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коммерческой организацией при налогообложении прибыли, в порядке, указанном выше.</w:t>
      </w:r>
    </w:p>
    <w:bookmarkStart w:colFirst="0" w:colLast="0" w:name="147n2zr" w:id="31"/>
    <w:bookmarkEnd w:id="31"/>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Необходимо отметить, что коммерческая организация вправе со дня ее государственной регистрации применять УСН в порядке и на условиях, определенных главой 32 НК, если:</w:t>
      </w:r>
    </w:p>
    <w:bookmarkStart w:colFirst="0" w:colLast="0" w:name="3o7alnk" w:id="32"/>
    <w:bookmarkEnd w:id="32"/>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списочная численность ее работников не превышает 50 человек;</w:t>
      </w:r>
    </w:p>
    <w:bookmarkStart w:colFirst="0" w:colLast="0" w:name="23ckvvd" w:id="33"/>
    <w:bookmarkEnd w:id="33"/>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Министерства по налогам и сборам Республики Беларусь от 3 января 2019 г. N 2 "Об исчислении и уплате налогов, сборов (пошлин), иных платежей".</w:t>
      </w:r>
    </w:p>
    <w:bookmarkStart w:colFirst="0" w:colLast="0" w:name="ihv636" w:id="34"/>
    <w:bookmarkEnd w:id="34"/>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части налога на добавленную стоимость (далее - НДС) коммерческая организация, к которой перешли права и обязанности ИП в соответствии с пунктом 10 Положения, определено следующее.</w:t>
      </w:r>
    </w:p>
    <w:bookmarkStart w:colFirst="0" w:colLast="0" w:name="32hioqz" w:id="35"/>
    <w:bookmarkEnd w:id="35"/>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Согласно пункту 25 Положения такая коммерческая организация:</w:t>
      </w:r>
    </w:p>
    <w:bookmarkStart w:colFirst="0" w:colLast="0" w:name="1hmsyys" w:id="36"/>
    <w:bookmarkEnd w:id="36"/>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определении оборотов по реализации в налоговую базу </w:t>
      </w:r>
      <w:r w:rsidDel="00000000" w:rsidR="00000000" w:rsidRPr="00000000">
        <w:rPr>
          <w:rFonts w:ascii="Times New Roman" w:cs="Times New Roman" w:eastAsia="Times New Roman" w:hAnsi="Times New Roman"/>
          <w:i w:val="1"/>
          <w:smallCaps w:val="0"/>
          <w:sz w:val="28"/>
          <w:szCs w:val="28"/>
          <w:rtl w:val="0"/>
        </w:rPr>
        <w:t xml:space="preserve">не</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i w:val="1"/>
          <w:smallCaps w:val="0"/>
          <w:sz w:val="28"/>
          <w:szCs w:val="28"/>
          <w:rtl w:val="0"/>
        </w:rPr>
        <w:t xml:space="preserve">включает</w:t>
      </w:r>
      <w:r w:rsidDel="00000000" w:rsidR="00000000" w:rsidRPr="00000000">
        <w:rPr>
          <w:rFonts w:ascii="Times New Roman" w:cs="Times New Roman" w:eastAsia="Times New Roman" w:hAnsi="Times New Roman"/>
          <w:smallCaps w:val="0"/>
          <w:sz w:val="28"/>
          <w:szCs w:val="28"/>
          <w:rtl w:val="0"/>
        </w:rPr>
        <w:t xml:space="preserve"> полученные суммы оплаты товаров (работ, услуг), имущественных прав, относящиеся к деятельности ИП, если выполняется одно из следующих условий:</w:t>
      </w:r>
    </w:p>
    <w:bookmarkStart w:colFirst="0" w:colLast="0" w:name="41mghml" w:id="37"/>
    <w:bookmarkEnd w:id="37"/>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обороты по их реализации были определены ИП в налоговой декларации (расчете) по НДС;</w:t>
      </w:r>
    </w:p>
    <w:bookmarkStart w:colFirst="0" w:colLast="0" w:name="2grqrue" w:id="38"/>
    <w:bookmarkEnd w:id="38"/>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 их реализации ИП не являлся плательщиком НДС (подп. 25.1 п. 25 Положения);</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br w:type="page"/>
      </w:r>
      <w:bookmarkStart w:colFirst="0" w:colLast="0" w:name="vx1227" w:id="39"/>
      <w:bookmarkEnd w:id="39"/>
      <w:r w:rsidDel="00000000" w:rsidR="00000000" w:rsidRPr="00000000">
        <w:rPr>
          <w:rFonts w:ascii="Times New Roman" w:cs="Times New Roman" w:eastAsia="Times New Roman" w:hAnsi="Times New Roman"/>
          <w:smallCaps w:val="0"/>
          <w:sz w:val="28"/>
          <w:szCs w:val="28"/>
          <w:rtl w:val="0"/>
        </w:rPr>
        <w:t xml:space="preserve">при определении оборотов по реализации в соответствии с пунктом 1 статьи 114 НК в налоговую базу </w:t>
      </w:r>
      <w:r w:rsidDel="00000000" w:rsidR="00000000" w:rsidRPr="00000000">
        <w:rPr>
          <w:rFonts w:ascii="Times New Roman" w:cs="Times New Roman" w:eastAsia="Times New Roman" w:hAnsi="Times New Roman"/>
          <w:i w:val="1"/>
          <w:smallCaps w:val="0"/>
          <w:sz w:val="28"/>
          <w:szCs w:val="28"/>
          <w:rtl w:val="0"/>
        </w:rPr>
        <w:t xml:space="preserve">включает</w:t>
      </w:r>
      <w:r w:rsidDel="00000000" w:rsidR="00000000" w:rsidRPr="00000000">
        <w:rPr>
          <w:rFonts w:ascii="Times New Roman" w:cs="Times New Roman" w:eastAsia="Times New Roman" w:hAnsi="Times New Roman"/>
          <w:smallCaps w:val="0"/>
          <w:sz w:val="28"/>
          <w:szCs w:val="28"/>
          <w:rtl w:val="0"/>
        </w:rPr>
        <w:t xml:space="preserve"> 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(подп. 25.2 п. 25 Положения).</w:t>
      </w:r>
    </w:p>
    <w:bookmarkStart w:colFirst="0" w:colLast="0" w:name="3fwokq0" w:id="40"/>
    <w:bookmarkEnd w:id="40"/>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 УСН.</w:t>
      </w:r>
    </w:p>
    <w:bookmarkStart w:colFirst="0" w:colLast="0" w:name="1v1yuxt" w:id="41"/>
    <w:bookmarkEnd w:id="41"/>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Пунктом 26 Положения дополняется порядок подтверждения обоснованности применения коммерческой организацией ставки НДС в размере ноль (0) процентов. 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bookmarkStart w:colFirst="0" w:colLast="0" w:name="4f1mdlm" w:id="42"/>
    <w:bookmarkEnd w:id="42"/>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этом отражение в налоговой декларации (расчете) по НДС оборотов по реализации товаров (экспортируемых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bookmarkStart w:colFirst="0" w:colLast="0" w:name="2u6wntf" w:id="43"/>
    <w:bookmarkEnd w:id="43"/>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целей исчисления НДС при уменьшении оборота по реализации товаров (работ, услуг), имущественных прав в порядке, установленном пунктом 4 статьи 129 НК, коммерческая организация в соответствии с пунктом 27 Положения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p>
    <w:bookmarkStart w:colFirst="0" w:colLast="0" w:name="19c6y18" w:id="44"/>
    <w:bookmarkEnd w:id="44"/>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200" w:line="300" w:lineRule="auto"/>
        <w:ind w:firstLine="53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пунктом 28 Положения определено, что признаваемые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p>
    <w:sectPr>
      <w:pgSz w:h="16837" w:w="11905" w:orient="portrait"/>
      <w:pgMar w:bottom="568" w:top="709" w:left="851" w:right="56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