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3"/>
        <w:tblW w:w="15039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FFFFFF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2099"/>
        <w:gridCol w:w="5495"/>
        <w:gridCol w:w="7445"/>
      </w:tblGrid>
      <w:tr w14:paraId="5D724EF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099" w:type="dxa"/>
            <w:tcBorders>
              <w:top w:val="nil"/>
              <w:left w:val="nil"/>
              <w:bottom w:val="single" w:color="999999" w:sz="6" w:space="0"/>
              <w:right w:val="single" w:color="999999" w:sz="6" w:space="0"/>
            </w:tcBorders>
            <w:shd w:val="clear" w:color="auto" w:fill="FFFFFF"/>
            <w:tcMar>
              <w:top w:w="105" w:type="dxa"/>
              <w:left w:w="165" w:type="dxa"/>
              <w:bottom w:w="105" w:type="dxa"/>
              <w:right w:w="165" w:type="dxa"/>
            </w:tcMar>
            <w:vAlign w:val="center"/>
          </w:tcPr>
          <w:p w14:paraId="3001835C">
            <w:pPr>
              <w:pStyle w:val="5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both"/>
              <w:rPr>
                <w:rFonts w:hint="default"/>
                <w:lang w:val="ru-RU"/>
              </w:rPr>
            </w:pPr>
            <w:r>
              <w:rPr>
                <w:rFonts w:hint="default"/>
                <w:lang w:val="ru-RU"/>
              </w:rPr>
              <w:t>1.</w:t>
            </w:r>
          </w:p>
        </w:tc>
        <w:tc>
          <w:tcPr>
            <w:tcW w:w="5495" w:type="dxa"/>
            <w:tcBorders>
              <w:top w:val="nil"/>
              <w:left w:val="nil"/>
              <w:bottom w:val="single" w:color="999999" w:sz="6" w:space="0"/>
              <w:right w:val="single" w:color="999999" w:sz="6" w:space="0"/>
            </w:tcBorders>
            <w:shd w:val="clear" w:color="auto" w:fill="FFFFFF"/>
            <w:tcMar>
              <w:top w:w="105" w:type="dxa"/>
              <w:left w:w="165" w:type="dxa"/>
              <w:bottom w:w="105" w:type="dxa"/>
              <w:right w:w="165" w:type="dxa"/>
            </w:tcMar>
            <w:vAlign w:val="center"/>
          </w:tcPr>
          <w:p w14:paraId="477A665E">
            <w:pPr>
              <w:pStyle w:val="5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both"/>
              <w:rPr>
                <w:rFonts w:hint="default"/>
                <w:lang w:val="ru-RU"/>
              </w:rPr>
            </w:pPr>
            <w:r>
              <w:rPr>
                <w:lang w:val="ru-RU"/>
              </w:rPr>
              <w:t>Наименование</w:t>
            </w:r>
            <w:r>
              <w:rPr>
                <w:rFonts w:hint="default"/>
                <w:lang w:val="ru-RU"/>
              </w:rPr>
              <w:t xml:space="preserve"> проекта</w:t>
            </w:r>
          </w:p>
        </w:tc>
        <w:tc>
          <w:tcPr>
            <w:tcW w:w="7445" w:type="dxa"/>
            <w:tcBorders>
              <w:top w:val="nil"/>
              <w:left w:val="nil"/>
              <w:bottom w:val="single" w:color="999999" w:sz="6" w:space="0"/>
              <w:right w:val="nil"/>
            </w:tcBorders>
            <w:shd w:val="clear" w:color="auto" w:fill="FFFFFF"/>
            <w:tcMar>
              <w:top w:w="105" w:type="dxa"/>
              <w:left w:w="165" w:type="dxa"/>
              <w:bottom w:w="105" w:type="dxa"/>
              <w:right w:w="165" w:type="dxa"/>
            </w:tcMar>
            <w:vAlign w:val="center"/>
          </w:tcPr>
          <w:p w14:paraId="3394C259">
            <w:pPr>
              <w:pStyle w:val="5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both"/>
              <w:rPr>
                <w:rFonts w:hint="default"/>
                <w:b/>
                <w:bCs/>
                <w:lang w:val="ru-RU"/>
              </w:rPr>
            </w:pPr>
            <w:r>
              <w:rPr>
                <w:rFonts w:hint="default"/>
                <w:b/>
                <w:bCs/>
                <w:lang w:val="ru-RU"/>
              </w:rPr>
              <w:t>«Серебряный возраст» - информационный бюллетень для граждан пожилого возраста</w:t>
            </w:r>
          </w:p>
          <w:p w14:paraId="13396182">
            <w:pPr>
              <w:pStyle w:val="5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both"/>
              <w:rPr>
                <w:rFonts w:hint="default"/>
                <w:lang w:val="ru-RU"/>
              </w:rPr>
            </w:pPr>
          </w:p>
          <w:p w14:paraId="5FF7B39D">
            <w:pPr>
              <w:pStyle w:val="5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center"/>
              <w:rPr>
                <w:rFonts w:hint="default"/>
                <w:lang w:val="ru-RU"/>
              </w:rPr>
            </w:pP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4112260" cy="2312670"/>
                  <wp:effectExtent l="0" t="0" r="2540" b="11430"/>
                  <wp:docPr id="2" name="Изображение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Изображение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2260" cy="23126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5549BB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099" w:type="dxa"/>
            <w:tcBorders>
              <w:top w:val="nil"/>
              <w:left w:val="nil"/>
              <w:bottom w:val="single" w:color="999999" w:sz="6" w:space="0"/>
              <w:right w:val="single" w:color="999999" w:sz="6" w:space="0"/>
            </w:tcBorders>
            <w:shd w:val="clear" w:color="auto" w:fill="FFFFFF"/>
            <w:tcMar>
              <w:top w:w="105" w:type="dxa"/>
              <w:left w:w="165" w:type="dxa"/>
              <w:bottom w:w="105" w:type="dxa"/>
              <w:right w:w="165" w:type="dxa"/>
            </w:tcMar>
            <w:vAlign w:val="center"/>
          </w:tcPr>
          <w:p w14:paraId="4188D2EE">
            <w:pPr>
              <w:pStyle w:val="5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both"/>
              <w:rPr>
                <w:rFonts w:ascii="Times New Roman" w:hAnsi="Times New Roman" w:eastAsia="SimSun" w:cs="Times New Roman"/>
                <w:kern w:val="0"/>
                <w:sz w:val="24"/>
                <w:szCs w:val="24"/>
                <w:lang w:val="en-US" w:eastAsia="zh-CN" w:bidi="ar"/>
              </w:rPr>
            </w:pPr>
            <w:r>
              <w:t>2.</w:t>
            </w:r>
          </w:p>
        </w:tc>
        <w:tc>
          <w:tcPr>
            <w:tcW w:w="5495" w:type="dxa"/>
            <w:tcBorders>
              <w:top w:val="nil"/>
              <w:left w:val="nil"/>
              <w:bottom w:val="single" w:color="999999" w:sz="6" w:space="0"/>
              <w:right w:val="single" w:color="999999" w:sz="6" w:space="0"/>
            </w:tcBorders>
            <w:shd w:val="clear" w:color="auto" w:fill="FFFFFF"/>
            <w:tcMar>
              <w:top w:w="105" w:type="dxa"/>
              <w:left w:w="165" w:type="dxa"/>
              <w:bottom w:w="105" w:type="dxa"/>
              <w:right w:w="165" w:type="dxa"/>
            </w:tcMar>
            <w:vAlign w:val="center"/>
          </w:tcPr>
          <w:p w14:paraId="6D06C84D">
            <w:pPr>
              <w:pStyle w:val="5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both"/>
              <w:rPr>
                <w:rFonts w:ascii="Times New Roman" w:hAnsi="Times New Roman" w:eastAsia="SimSun" w:cs="Times New Roman"/>
                <w:kern w:val="0"/>
                <w:sz w:val="24"/>
                <w:szCs w:val="24"/>
                <w:lang w:val="en-US" w:eastAsia="zh-CN" w:bidi="ar"/>
              </w:rPr>
            </w:pPr>
            <w:r>
              <w:t>Наименование организации</w:t>
            </w:r>
          </w:p>
        </w:tc>
        <w:tc>
          <w:tcPr>
            <w:tcW w:w="7445" w:type="dxa"/>
            <w:tcBorders>
              <w:top w:val="nil"/>
              <w:left w:val="nil"/>
              <w:bottom w:val="single" w:color="999999" w:sz="6" w:space="0"/>
              <w:right w:val="nil"/>
            </w:tcBorders>
            <w:shd w:val="clear" w:color="auto" w:fill="FFFFFF"/>
            <w:tcMar>
              <w:top w:w="105" w:type="dxa"/>
              <w:left w:w="165" w:type="dxa"/>
              <w:bottom w:w="105" w:type="dxa"/>
              <w:right w:w="165" w:type="dxa"/>
            </w:tcMar>
            <w:vAlign w:val="center"/>
          </w:tcPr>
          <w:p w14:paraId="5F1BA1E8">
            <w:pPr>
              <w:pStyle w:val="5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both"/>
              <w:rPr>
                <w:rFonts w:ascii="Times New Roman" w:hAnsi="Times New Roman" w:eastAsia="SimSun" w:cs="Times New Roman"/>
                <w:kern w:val="0"/>
                <w:sz w:val="24"/>
                <w:szCs w:val="24"/>
                <w:lang w:val="en-US" w:eastAsia="zh-CN" w:bidi="ar"/>
              </w:rPr>
            </w:pPr>
            <w:r>
              <w:t>Учреждение социальной защиты «Территориальный Центр социального обслуживания населения Первомайского района г. Бобруйска»</w:t>
            </w:r>
          </w:p>
        </w:tc>
      </w:tr>
      <w:tr w14:paraId="35CAC16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099" w:type="dxa"/>
            <w:tcBorders>
              <w:top w:val="nil"/>
              <w:left w:val="nil"/>
              <w:bottom w:val="single" w:color="999999" w:sz="6" w:space="0"/>
              <w:right w:val="single" w:color="999999" w:sz="6" w:space="0"/>
            </w:tcBorders>
            <w:shd w:val="clear" w:color="auto" w:fill="F2F9FF"/>
            <w:tcMar>
              <w:top w:w="105" w:type="dxa"/>
              <w:left w:w="165" w:type="dxa"/>
              <w:bottom w:w="105" w:type="dxa"/>
              <w:right w:w="165" w:type="dxa"/>
            </w:tcMar>
            <w:vAlign w:val="center"/>
          </w:tcPr>
          <w:p w14:paraId="050F65DC">
            <w:pPr>
              <w:pStyle w:val="5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both"/>
            </w:pPr>
            <w:r>
              <w:t>3.</w:t>
            </w:r>
          </w:p>
        </w:tc>
        <w:tc>
          <w:tcPr>
            <w:tcW w:w="5495" w:type="dxa"/>
            <w:tcBorders>
              <w:top w:val="nil"/>
              <w:left w:val="nil"/>
              <w:bottom w:val="single" w:color="999999" w:sz="6" w:space="0"/>
              <w:right w:val="single" w:color="999999" w:sz="6" w:space="0"/>
            </w:tcBorders>
            <w:shd w:val="clear" w:color="auto" w:fill="F2F9FF"/>
            <w:tcMar>
              <w:top w:w="105" w:type="dxa"/>
              <w:left w:w="165" w:type="dxa"/>
              <w:bottom w:w="105" w:type="dxa"/>
              <w:right w:w="165" w:type="dxa"/>
            </w:tcMar>
            <w:vAlign w:val="center"/>
          </w:tcPr>
          <w:p w14:paraId="2CF97EF4">
            <w:pPr>
              <w:pStyle w:val="5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both"/>
            </w:pPr>
            <w:r>
              <w:t>Физический и юридический адрес организации, телефон, факс, еmail</w:t>
            </w:r>
          </w:p>
        </w:tc>
        <w:tc>
          <w:tcPr>
            <w:tcW w:w="7445" w:type="dxa"/>
            <w:tcBorders>
              <w:top w:val="nil"/>
              <w:left w:val="nil"/>
              <w:bottom w:val="single" w:color="999999" w:sz="6" w:space="0"/>
              <w:right w:val="nil"/>
            </w:tcBorders>
            <w:shd w:val="clear" w:color="auto" w:fill="F2F9FF"/>
            <w:tcMar>
              <w:top w:w="105" w:type="dxa"/>
              <w:left w:w="165" w:type="dxa"/>
              <w:bottom w:w="105" w:type="dxa"/>
              <w:right w:w="165" w:type="dxa"/>
            </w:tcMar>
            <w:vAlign w:val="center"/>
          </w:tcPr>
          <w:p w14:paraId="48F7EE70">
            <w:pPr>
              <w:pStyle w:val="5"/>
              <w:keepNext w:val="0"/>
              <w:keepLines w:val="0"/>
              <w:widowControl/>
              <w:suppressLineNumbers w:val="0"/>
              <w:spacing w:before="0" w:beforeAutospacing="0" w:after="150" w:afterAutospacing="0"/>
              <w:ind w:left="0" w:right="0" w:firstLine="0"/>
              <w:jc w:val="both"/>
            </w:pPr>
            <w:r>
              <w:t>2138</w:t>
            </w:r>
            <w:r>
              <w:rPr>
                <w:rFonts w:hint="default"/>
                <w:lang w:val="ru-RU"/>
              </w:rPr>
              <w:t>29</w:t>
            </w:r>
            <w:r>
              <w:t>, Республика Беларусь, Могилевская область, г. Бобруйск, ул. 50 лет ВЛКСМ, д. 19</w:t>
            </w:r>
          </w:p>
          <w:p w14:paraId="01A97189">
            <w:pPr>
              <w:pStyle w:val="5"/>
              <w:keepNext w:val="0"/>
              <w:keepLines w:val="0"/>
              <w:widowControl/>
              <w:suppressLineNumbers w:val="0"/>
              <w:spacing w:before="0" w:beforeAutospacing="0" w:after="150" w:afterAutospacing="0"/>
              <w:ind w:left="0" w:right="0" w:firstLine="0"/>
              <w:jc w:val="both"/>
            </w:pPr>
            <w:r>
              <w:t>Телефон: +375 225 72 73 98 (приемная, факс)</w:t>
            </w:r>
          </w:p>
          <w:p w14:paraId="2F23CBF1">
            <w:pPr>
              <w:pStyle w:val="5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both"/>
              <w:rPr>
                <w:rFonts w:hint="default"/>
                <w:lang w:val="ru-RU"/>
              </w:rPr>
            </w:pPr>
            <w:r>
              <w:t>Email: </w:t>
            </w:r>
            <w:r>
              <w:rPr>
                <w:rFonts w:hint="default"/>
              </w:rPr>
              <w:fldChar w:fldCharType="begin"/>
            </w:r>
            <w:r>
              <w:rPr>
                <w:rFonts w:hint="default"/>
              </w:rPr>
              <w:instrText xml:space="preserve"> HYPERLINK "mailto:info@tcsonpr.by" </w:instrText>
            </w:r>
            <w:r>
              <w:rPr>
                <w:rFonts w:hint="default"/>
              </w:rPr>
              <w:fldChar w:fldCharType="separate"/>
            </w:r>
            <w:r>
              <w:rPr>
                <w:rStyle w:val="4"/>
                <w:rFonts w:hint="default"/>
              </w:rPr>
              <w:t>info@tcsonpr.by</w:t>
            </w:r>
            <w:r>
              <w:rPr>
                <w:rFonts w:hint="default"/>
              </w:rPr>
              <w:fldChar w:fldCharType="end"/>
            </w:r>
            <w:r>
              <w:rPr>
                <w:rFonts w:hint="default"/>
                <w:lang w:val="ru-RU"/>
              </w:rPr>
              <w:t xml:space="preserve"> </w:t>
            </w:r>
          </w:p>
        </w:tc>
      </w:tr>
      <w:tr w14:paraId="5D9F6F3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099" w:type="dxa"/>
            <w:tcBorders>
              <w:top w:val="nil"/>
              <w:left w:val="nil"/>
              <w:bottom w:val="single" w:color="999999" w:sz="6" w:space="0"/>
              <w:right w:val="single" w:color="999999" w:sz="6" w:space="0"/>
            </w:tcBorders>
            <w:shd w:val="clear" w:color="auto" w:fill="FFFFFF"/>
            <w:tcMar>
              <w:top w:w="105" w:type="dxa"/>
              <w:left w:w="165" w:type="dxa"/>
              <w:bottom w:w="105" w:type="dxa"/>
              <w:right w:w="165" w:type="dxa"/>
            </w:tcMar>
            <w:vAlign w:val="center"/>
          </w:tcPr>
          <w:p w14:paraId="131A8A89">
            <w:pPr>
              <w:pStyle w:val="5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both"/>
            </w:pPr>
            <w:r>
              <w:t>4.</w:t>
            </w:r>
          </w:p>
        </w:tc>
        <w:tc>
          <w:tcPr>
            <w:tcW w:w="5495" w:type="dxa"/>
            <w:tcBorders>
              <w:top w:val="nil"/>
              <w:left w:val="nil"/>
              <w:bottom w:val="single" w:color="999999" w:sz="6" w:space="0"/>
              <w:right w:val="single" w:color="999999" w:sz="6" w:space="0"/>
            </w:tcBorders>
            <w:shd w:val="clear" w:color="auto" w:fill="FFFFFF"/>
            <w:tcMar>
              <w:top w:w="105" w:type="dxa"/>
              <w:left w:w="165" w:type="dxa"/>
              <w:bottom w:w="105" w:type="dxa"/>
              <w:right w:w="165" w:type="dxa"/>
            </w:tcMar>
            <w:vAlign w:val="center"/>
          </w:tcPr>
          <w:p w14:paraId="0B14B6C0">
            <w:pPr>
              <w:pStyle w:val="5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both"/>
            </w:pPr>
            <w:r>
              <w:t>Информация об организации</w:t>
            </w:r>
          </w:p>
        </w:tc>
        <w:tc>
          <w:tcPr>
            <w:tcW w:w="7445" w:type="dxa"/>
            <w:tcBorders>
              <w:top w:val="nil"/>
              <w:left w:val="nil"/>
              <w:bottom w:val="single" w:color="999999" w:sz="6" w:space="0"/>
              <w:right w:val="nil"/>
            </w:tcBorders>
            <w:shd w:val="clear" w:color="auto" w:fill="FFFFFF"/>
            <w:tcMar>
              <w:top w:w="105" w:type="dxa"/>
              <w:left w:w="165" w:type="dxa"/>
              <w:bottom w:w="105" w:type="dxa"/>
              <w:right w:w="165" w:type="dxa"/>
            </w:tcMar>
            <w:vAlign w:val="center"/>
          </w:tcPr>
          <w:p w14:paraId="043BF6BD">
            <w:pPr>
              <w:pStyle w:val="5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both"/>
            </w:pPr>
            <w:r>
              <w:t>Учреждение социальной защиты «Территориальный Центр социального обслуживания населения Первомайского района г.Бобруйска» создан решением Бобруйского городского исполнительного комитета от 5 июня 2002 г. №14-4 и зарегистрирован в Едином государственном регистре юридических лиц и индивидуальных предпринимателей решением Могилевского областного исполнительного комитета от 28 июня 2002 г. № 14-2. Организация является государственным учреждением социального обслуживания, деятельность которого направлена на организацию и оказание социальных услуг гражданам, находящимся в трудной жизненной ситуации, в формах стационарного, полустационарного,  срочного</w:t>
            </w:r>
            <w:r>
              <w:rPr>
                <w:rFonts w:hint="default"/>
                <w:lang w:val="ru-RU"/>
              </w:rPr>
              <w:t xml:space="preserve">, дистанционного </w:t>
            </w:r>
            <w:r>
              <w:t>социального обслуживания, обслуживания на дому</w:t>
            </w:r>
            <w:r>
              <w:rPr>
                <w:rFonts w:hint="default"/>
                <w:lang w:val="ru-RU"/>
              </w:rPr>
              <w:t xml:space="preserve"> и в замещающей семье</w:t>
            </w:r>
            <w:r>
              <w:t>, а также содействие активизации собственных усилий граждан по предупреждению, преодолению жизненной ситуации и (или) адаптации к ней.</w:t>
            </w:r>
          </w:p>
        </w:tc>
      </w:tr>
      <w:tr w14:paraId="7CB0BC1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099" w:type="dxa"/>
            <w:tcBorders>
              <w:top w:val="nil"/>
              <w:left w:val="nil"/>
              <w:bottom w:val="single" w:color="999999" w:sz="6" w:space="0"/>
              <w:right w:val="single" w:color="999999" w:sz="6" w:space="0"/>
            </w:tcBorders>
            <w:shd w:val="clear" w:color="auto" w:fill="F2F9FF"/>
            <w:tcMar>
              <w:top w:w="105" w:type="dxa"/>
              <w:left w:w="165" w:type="dxa"/>
              <w:bottom w:w="105" w:type="dxa"/>
              <w:right w:w="165" w:type="dxa"/>
            </w:tcMar>
            <w:vAlign w:val="center"/>
          </w:tcPr>
          <w:p w14:paraId="6E43E091">
            <w:pPr>
              <w:pStyle w:val="5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both"/>
            </w:pPr>
            <w:r>
              <w:t>5.</w:t>
            </w:r>
          </w:p>
        </w:tc>
        <w:tc>
          <w:tcPr>
            <w:tcW w:w="5495" w:type="dxa"/>
            <w:tcBorders>
              <w:top w:val="nil"/>
              <w:left w:val="nil"/>
              <w:bottom w:val="single" w:color="999999" w:sz="6" w:space="0"/>
              <w:right w:val="single" w:color="999999" w:sz="6" w:space="0"/>
            </w:tcBorders>
            <w:shd w:val="clear" w:color="auto" w:fill="F2F9FF"/>
            <w:tcMar>
              <w:top w:w="105" w:type="dxa"/>
              <w:left w:w="165" w:type="dxa"/>
              <w:bottom w:w="105" w:type="dxa"/>
              <w:right w:w="165" w:type="dxa"/>
            </w:tcMar>
            <w:vAlign w:val="center"/>
          </w:tcPr>
          <w:p w14:paraId="26A3300F">
            <w:pPr>
              <w:pStyle w:val="5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both"/>
            </w:pPr>
            <w:r>
              <w:t>Руководитель организации</w:t>
            </w:r>
          </w:p>
        </w:tc>
        <w:tc>
          <w:tcPr>
            <w:tcW w:w="7445" w:type="dxa"/>
            <w:tcBorders>
              <w:top w:val="nil"/>
              <w:left w:val="nil"/>
              <w:bottom w:val="single" w:color="999999" w:sz="6" w:space="0"/>
              <w:right w:val="nil"/>
            </w:tcBorders>
            <w:shd w:val="clear" w:color="auto" w:fill="F2F9FF"/>
            <w:tcMar>
              <w:top w:w="105" w:type="dxa"/>
              <w:left w:w="165" w:type="dxa"/>
              <w:bottom w:w="105" w:type="dxa"/>
              <w:right w:w="165" w:type="dxa"/>
            </w:tcMar>
            <w:vAlign w:val="center"/>
          </w:tcPr>
          <w:p w14:paraId="1DEEDB94">
            <w:pPr>
              <w:pStyle w:val="5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both"/>
              <w:rPr>
                <w:rFonts w:hint="default"/>
                <w:lang w:val="ru-RU"/>
              </w:rPr>
            </w:pPr>
            <w:r>
              <w:rPr>
                <w:lang w:val="ru-RU"/>
              </w:rPr>
              <w:t>Парахневич</w:t>
            </w:r>
            <w:r>
              <w:rPr>
                <w:rFonts w:hint="default"/>
                <w:lang w:val="ru-RU"/>
              </w:rPr>
              <w:t xml:space="preserve"> Наталья Владимировна</w:t>
            </w:r>
            <w:r>
              <w:t>, директор Центра, контактный телефон: +375225 7273</w:t>
            </w:r>
            <w:r>
              <w:rPr>
                <w:rFonts w:hint="default"/>
                <w:lang w:val="ru-RU"/>
              </w:rPr>
              <w:t>71</w:t>
            </w:r>
          </w:p>
        </w:tc>
      </w:tr>
      <w:tr w14:paraId="52EBABE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099" w:type="dxa"/>
            <w:tcBorders>
              <w:top w:val="nil"/>
              <w:left w:val="nil"/>
              <w:bottom w:val="single" w:color="999999" w:sz="6" w:space="0"/>
              <w:right w:val="single" w:color="999999" w:sz="6" w:space="0"/>
            </w:tcBorders>
            <w:shd w:val="clear" w:color="auto" w:fill="FFFFFF"/>
            <w:tcMar>
              <w:top w:w="105" w:type="dxa"/>
              <w:left w:w="165" w:type="dxa"/>
              <w:bottom w:w="105" w:type="dxa"/>
              <w:right w:w="165" w:type="dxa"/>
            </w:tcMar>
            <w:vAlign w:val="center"/>
          </w:tcPr>
          <w:p w14:paraId="264B559A">
            <w:pPr>
              <w:pStyle w:val="5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both"/>
            </w:pPr>
            <w:r>
              <w:t>6.</w:t>
            </w:r>
          </w:p>
        </w:tc>
        <w:tc>
          <w:tcPr>
            <w:tcW w:w="5495" w:type="dxa"/>
            <w:tcBorders>
              <w:top w:val="nil"/>
              <w:left w:val="nil"/>
              <w:bottom w:val="single" w:color="999999" w:sz="6" w:space="0"/>
              <w:right w:val="single" w:color="999999" w:sz="6" w:space="0"/>
            </w:tcBorders>
            <w:shd w:val="clear" w:color="auto" w:fill="FFFFFF"/>
            <w:tcMar>
              <w:top w:w="105" w:type="dxa"/>
              <w:left w:w="165" w:type="dxa"/>
              <w:bottom w:w="105" w:type="dxa"/>
              <w:right w:w="165" w:type="dxa"/>
            </w:tcMar>
            <w:vAlign w:val="center"/>
          </w:tcPr>
          <w:p w14:paraId="4022F829">
            <w:pPr>
              <w:pStyle w:val="5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both"/>
            </w:pPr>
            <w:r>
              <w:t>Менеджер проекта</w:t>
            </w:r>
          </w:p>
        </w:tc>
        <w:tc>
          <w:tcPr>
            <w:tcW w:w="7445" w:type="dxa"/>
            <w:tcBorders>
              <w:top w:val="nil"/>
              <w:left w:val="nil"/>
              <w:bottom w:val="single" w:color="999999" w:sz="6" w:space="0"/>
              <w:right w:val="nil"/>
            </w:tcBorders>
            <w:shd w:val="clear" w:color="auto" w:fill="FFFFFF"/>
            <w:tcMar>
              <w:top w:w="105" w:type="dxa"/>
              <w:left w:w="165" w:type="dxa"/>
              <w:bottom w:w="105" w:type="dxa"/>
              <w:right w:w="165" w:type="dxa"/>
            </w:tcMar>
            <w:vAlign w:val="center"/>
          </w:tcPr>
          <w:p w14:paraId="0499BA57">
            <w:pPr>
              <w:pStyle w:val="5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both"/>
            </w:pPr>
            <w:r>
              <w:rPr>
                <w:lang w:val="ru-RU"/>
              </w:rPr>
              <w:t>Филина</w:t>
            </w:r>
            <w:r>
              <w:rPr>
                <w:rFonts w:hint="default"/>
                <w:lang w:val="ru-RU"/>
              </w:rPr>
              <w:t xml:space="preserve"> Елена Николаевна</w:t>
            </w:r>
            <w:r>
              <w:t>, заведующий отделением дневного пребывания для граждан пожилого возраста Центра, контактный телефон:</w:t>
            </w:r>
            <w:r>
              <w:rPr>
                <w:rFonts w:hint="default"/>
                <w:lang w:val="ru-RU"/>
              </w:rPr>
              <w:t xml:space="preserve"> </w:t>
            </w:r>
            <w:r>
              <w:t>+375225 727366</w:t>
            </w:r>
          </w:p>
        </w:tc>
      </w:tr>
      <w:tr w14:paraId="11A39B5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099" w:type="dxa"/>
            <w:tcBorders>
              <w:top w:val="nil"/>
              <w:left w:val="nil"/>
              <w:bottom w:val="single" w:color="999999" w:sz="6" w:space="0"/>
              <w:right w:val="single" w:color="999999" w:sz="6" w:space="0"/>
            </w:tcBorders>
            <w:shd w:val="clear" w:color="auto" w:fill="F2F9FF"/>
            <w:tcMar>
              <w:top w:w="105" w:type="dxa"/>
              <w:left w:w="165" w:type="dxa"/>
              <w:bottom w:w="105" w:type="dxa"/>
              <w:right w:w="165" w:type="dxa"/>
            </w:tcMar>
            <w:vAlign w:val="center"/>
          </w:tcPr>
          <w:p w14:paraId="08741EEE">
            <w:pPr>
              <w:pStyle w:val="5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both"/>
            </w:pPr>
            <w:r>
              <w:t>7.</w:t>
            </w:r>
          </w:p>
        </w:tc>
        <w:tc>
          <w:tcPr>
            <w:tcW w:w="5495" w:type="dxa"/>
            <w:tcBorders>
              <w:top w:val="nil"/>
              <w:left w:val="nil"/>
              <w:bottom w:val="single" w:color="999999" w:sz="6" w:space="0"/>
              <w:right w:val="single" w:color="999999" w:sz="6" w:space="0"/>
            </w:tcBorders>
            <w:shd w:val="clear" w:color="auto" w:fill="F2F9FF"/>
            <w:tcMar>
              <w:top w:w="105" w:type="dxa"/>
              <w:left w:w="165" w:type="dxa"/>
              <w:bottom w:w="105" w:type="dxa"/>
              <w:right w:w="165" w:type="dxa"/>
            </w:tcMar>
            <w:vAlign w:val="center"/>
          </w:tcPr>
          <w:p w14:paraId="2212AD67">
            <w:pPr>
              <w:pStyle w:val="5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both"/>
            </w:pPr>
            <w:r>
              <w:t>Прежняя помощь, полученная от других иностранных источников</w:t>
            </w:r>
          </w:p>
        </w:tc>
        <w:tc>
          <w:tcPr>
            <w:tcW w:w="7445" w:type="dxa"/>
            <w:tcBorders>
              <w:top w:val="nil"/>
              <w:left w:val="nil"/>
              <w:bottom w:val="single" w:color="999999" w:sz="6" w:space="0"/>
              <w:right w:val="nil"/>
            </w:tcBorders>
            <w:shd w:val="clear" w:color="auto" w:fill="F2F9FF"/>
            <w:tcMar>
              <w:top w:w="105" w:type="dxa"/>
              <w:left w:w="165" w:type="dxa"/>
              <w:bottom w:w="105" w:type="dxa"/>
              <w:right w:w="165" w:type="dxa"/>
            </w:tcMar>
            <w:vAlign w:val="center"/>
          </w:tcPr>
          <w:p w14:paraId="005C73F8">
            <w:pPr>
              <w:pStyle w:val="5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both"/>
            </w:pPr>
            <w:r>
              <w:t>Не предоставлялась</w:t>
            </w:r>
          </w:p>
        </w:tc>
      </w:tr>
      <w:tr w14:paraId="63EC47D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099" w:type="dxa"/>
            <w:tcBorders>
              <w:top w:val="nil"/>
              <w:left w:val="nil"/>
              <w:bottom w:val="single" w:color="999999" w:sz="6" w:space="0"/>
              <w:right w:val="single" w:color="999999" w:sz="6" w:space="0"/>
            </w:tcBorders>
            <w:shd w:val="clear" w:color="auto" w:fill="FFFFFF"/>
            <w:tcMar>
              <w:top w:w="105" w:type="dxa"/>
              <w:left w:w="165" w:type="dxa"/>
              <w:bottom w:w="105" w:type="dxa"/>
              <w:right w:w="165" w:type="dxa"/>
            </w:tcMar>
            <w:vAlign w:val="center"/>
          </w:tcPr>
          <w:p w14:paraId="3687ACEB">
            <w:pPr>
              <w:pStyle w:val="5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both"/>
            </w:pPr>
            <w:r>
              <w:t>8.</w:t>
            </w:r>
          </w:p>
        </w:tc>
        <w:tc>
          <w:tcPr>
            <w:tcW w:w="5495" w:type="dxa"/>
            <w:tcBorders>
              <w:top w:val="nil"/>
              <w:left w:val="nil"/>
              <w:bottom w:val="single" w:color="999999" w:sz="6" w:space="0"/>
              <w:right w:val="single" w:color="999999" w:sz="6" w:space="0"/>
            </w:tcBorders>
            <w:shd w:val="clear" w:color="auto" w:fill="FFFFFF"/>
            <w:tcMar>
              <w:top w:w="105" w:type="dxa"/>
              <w:left w:w="165" w:type="dxa"/>
              <w:bottom w:w="105" w:type="dxa"/>
              <w:right w:w="165" w:type="dxa"/>
            </w:tcMar>
            <w:vAlign w:val="center"/>
          </w:tcPr>
          <w:p w14:paraId="19A38AF6">
            <w:pPr>
              <w:pStyle w:val="5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both"/>
            </w:pPr>
            <w:r>
              <w:t>Требуемая сумма</w:t>
            </w:r>
          </w:p>
        </w:tc>
        <w:tc>
          <w:tcPr>
            <w:tcW w:w="7445" w:type="dxa"/>
            <w:tcBorders>
              <w:top w:val="nil"/>
              <w:left w:val="nil"/>
              <w:bottom w:val="single" w:color="999999" w:sz="6" w:space="0"/>
              <w:right w:val="nil"/>
            </w:tcBorders>
            <w:shd w:val="clear" w:color="auto" w:fill="FFFFFF"/>
            <w:tcMar>
              <w:top w:w="105" w:type="dxa"/>
              <w:left w:w="165" w:type="dxa"/>
              <w:bottom w:w="105" w:type="dxa"/>
              <w:right w:w="165" w:type="dxa"/>
            </w:tcMar>
            <w:vAlign w:val="center"/>
          </w:tcPr>
          <w:p w14:paraId="113CCA2F">
            <w:pPr>
              <w:pStyle w:val="5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both"/>
            </w:pPr>
            <w:r>
              <w:t>8 500 долларов США</w:t>
            </w:r>
          </w:p>
        </w:tc>
      </w:tr>
      <w:tr w14:paraId="125B940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099" w:type="dxa"/>
            <w:tcBorders>
              <w:top w:val="nil"/>
              <w:left w:val="nil"/>
              <w:bottom w:val="single" w:color="999999" w:sz="6" w:space="0"/>
              <w:right w:val="single" w:color="999999" w:sz="6" w:space="0"/>
            </w:tcBorders>
            <w:shd w:val="clear" w:color="auto" w:fill="F2F9FF"/>
            <w:tcMar>
              <w:top w:w="105" w:type="dxa"/>
              <w:left w:w="165" w:type="dxa"/>
              <w:bottom w:w="105" w:type="dxa"/>
              <w:right w:w="165" w:type="dxa"/>
            </w:tcMar>
            <w:vAlign w:val="center"/>
          </w:tcPr>
          <w:p w14:paraId="240DDF72">
            <w:pPr>
              <w:pStyle w:val="5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both"/>
            </w:pPr>
            <w:r>
              <w:t>9.</w:t>
            </w:r>
          </w:p>
        </w:tc>
        <w:tc>
          <w:tcPr>
            <w:tcW w:w="5495" w:type="dxa"/>
            <w:tcBorders>
              <w:top w:val="nil"/>
              <w:left w:val="nil"/>
              <w:bottom w:val="single" w:color="999999" w:sz="6" w:space="0"/>
              <w:right w:val="single" w:color="999999" w:sz="6" w:space="0"/>
            </w:tcBorders>
            <w:shd w:val="clear" w:color="auto" w:fill="F2F9FF"/>
            <w:tcMar>
              <w:top w:w="105" w:type="dxa"/>
              <w:left w:w="165" w:type="dxa"/>
              <w:bottom w:w="105" w:type="dxa"/>
              <w:right w:w="165" w:type="dxa"/>
            </w:tcMar>
            <w:vAlign w:val="center"/>
          </w:tcPr>
          <w:p w14:paraId="52CF4E94">
            <w:pPr>
              <w:pStyle w:val="5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both"/>
            </w:pPr>
            <w:r>
              <w:t>Софинансирование</w:t>
            </w:r>
          </w:p>
        </w:tc>
        <w:tc>
          <w:tcPr>
            <w:tcW w:w="7445" w:type="dxa"/>
            <w:tcBorders>
              <w:top w:val="nil"/>
              <w:left w:val="nil"/>
              <w:bottom w:val="single" w:color="999999" w:sz="6" w:space="0"/>
              <w:right w:val="nil"/>
            </w:tcBorders>
            <w:shd w:val="clear" w:color="auto" w:fill="F2F9FF"/>
            <w:tcMar>
              <w:top w:w="105" w:type="dxa"/>
              <w:left w:w="165" w:type="dxa"/>
              <w:bottom w:w="105" w:type="dxa"/>
              <w:right w:w="165" w:type="dxa"/>
            </w:tcMar>
            <w:vAlign w:val="center"/>
          </w:tcPr>
          <w:p w14:paraId="36F91FBC">
            <w:pPr>
              <w:pStyle w:val="5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both"/>
            </w:pPr>
            <w:r>
              <w:t>УСЗ «Территориальный Центр социального обслуживания населения Первомайского района г.Бобруйска»</w:t>
            </w:r>
          </w:p>
        </w:tc>
      </w:tr>
      <w:tr w14:paraId="5B1E675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099" w:type="dxa"/>
            <w:tcBorders>
              <w:top w:val="nil"/>
              <w:left w:val="nil"/>
              <w:bottom w:val="single" w:color="999999" w:sz="6" w:space="0"/>
              <w:right w:val="single" w:color="999999" w:sz="6" w:space="0"/>
            </w:tcBorders>
            <w:shd w:val="clear" w:color="auto" w:fill="FFFFFF"/>
            <w:tcMar>
              <w:top w:w="105" w:type="dxa"/>
              <w:left w:w="165" w:type="dxa"/>
              <w:bottom w:w="105" w:type="dxa"/>
              <w:right w:w="165" w:type="dxa"/>
            </w:tcMar>
            <w:vAlign w:val="center"/>
          </w:tcPr>
          <w:p w14:paraId="4B32BC57">
            <w:pPr>
              <w:pStyle w:val="5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both"/>
            </w:pPr>
            <w:r>
              <w:t>10.</w:t>
            </w:r>
          </w:p>
        </w:tc>
        <w:tc>
          <w:tcPr>
            <w:tcW w:w="5495" w:type="dxa"/>
            <w:tcBorders>
              <w:top w:val="nil"/>
              <w:left w:val="nil"/>
              <w:bottom w:val="single" w:color="999999" w:sz="6" w:space="0"/>
              <w:right w:val="single" w:color="999999" w:sz="6" w:space="0"/>
            </w:tcBorders>
            <w:shd w:val="clear" w:color="auto" w:fill="FFFFFF"/>
            <w:tcMar>
              <w:top w:w="105" w:type="dxa"/>
              <w:left w:w="165" w:type="dxa"/>
              <w:bottom w:w="105" w:type="dxa"/>
              <w:right w:w="165" w:type="dxa"/>
            </w:tcMar>
            <w:vAlign w:val="center"/>
          </w:tcPr>
          <w:p w14:paraId="42E17570">
            <w:pPr>
              <w:pStyle w:val="5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both"/>
            </w:pPr>
            <w:r>
              <w:t>Срок проекта</w:t>
            </w:r>
          </w:p>
        </w:tc>
        <w:tc>
          <w:tcPr>
            <w:tcW w:w="7445" w:type="dxa"/>
            <w:tcBorders>
              <w:top w:val="nil"/>
              <w:left w:val="nil"/>
              <w:bottom w:val="single" w:color="999999" w:sz="6" w:space="0"/>
              <w:right w:val="nil"/>
            </w:tcBorders>
            <w:shd w:val="clear" w:color="auto" w:fill="FFFFFF"/>
            <w:tcMar>
              <w:top w:w="105" w:type="dxa"/>
              <w:left w:w="165" w:type="dxa"/>
              <w:bottom w:w="105" w:type="dxa"/>
              <w:right w:w="165" w:type="dxa"/>
            </w:tcMar>
            <w:vAlign w:val="center"/>
          </w:tcPr>
          <w:p w14:paraId="2C2F1A39">
            <w:pPr>
              <w:pStyle w:val="5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both"/>
            </w:pPr>
            <w:r>
              <w:t>12 месяцев</w:t>
            </w:r>
          </w:p>
        </w:tc>
      </w:tr>
      <w:tr w14:paraId="0C01151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099" w:type="dxa"/>
            <w:tcBorders>
              <w:top w:val="nil"/>
              <w:left w:val="nil"/>
              <w:bottom w:val="single" w:color="999999" w:sz="6" w:space="0"/>
              <w:right w:val="single" w:color="999999" w:sz="6" w:space="0"/>
            </w:tcBorders>
            <w:shd w:val="clear" w:color="auto" w:fill="F2F9FF"/>
            <w:tcMar>
              <w:top w:w="105" w:type="dxa"/>
              <w:left w:w="165" w:type="dxa"/>
              <w:bottom w:w="105" w:type="dxa"/>
              <w:right w:w="165" w:type="dxa"/>
            </w:tcMar>
            <w:vAlign w:val="center"/>
          </w:tcPr>
          <w:p w14:paraId="5B917ADA">
            <w:pPr>
              <w:pStyle w:val="5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both"/>
            </w:pPr>
            <w:r>
              <w:t>11.</w:t>
            </w:r>
          </w:p>
        </w:tc>
        <w:tc>
          <w:tcPr>
            <w:tcW w:w="5495" w:type="dxa"/>
            <w:tcBorders>
              <w:top w:val="nil"/>
              <w:left w:val="nil"/>
              <w:bottom w:val="single" w:color="999999" w:sz="6" w:space="0"/>
              <w:right w:val="single" w:color="999999" w:sz="6" w:space="0"/>
            </w:tcBorders>
            <w:shd w:val="clear" w:color="auto" w:fill="F2F9FF"/>
            <w:tcMar>
              <w:top w:w="105" w:type="dxa"/>
              <w:left w:w="165" w:type="dxa"/>
              <w:bottom w:w="105" w:type="dxa"/>
              <w:right w:w="165" w:type="dxa"/>
            </w:tcMar>
            <w:vAlign w:val="center"/>
          </w:tcPr>
          <w:p w14:paraId="37184FF6">
            <w:pPr>
              <w:pStyle w:val="5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both"/>
            </w:pPr>
            <w:r>
              <w:t>Цель проекта</w:t>
            </w:r>
          </w:p>
        </w:tc>
        <w:tc>
          <w:tcPr>
            <w:tcW w:w="7445" w:type="dxa"/>
            <w:tcBorders>
              <w:top w:val="nil"/>
              <w:left w:val="nil"/>
              <w:bottom w:val="single" w:color="999999" w:sz="6" w:space="0"/>
              <w:right w:val="nil"/>
            </w:tcBorders>
            <w:shd w:val="clear" w:color="auto" w:fill="F2F9FF"/>
            <w:tcMar>
              <w:top w:w="105" w:type="dxa"/>
              <w:left w:w="165" w:type="dxa"/>
              <w:bottom w:w="105" w:type="dxa"/>
              <w:right w:w="165" w:type="dxa"/>
            </w:tcMar>
            <w:vAlign w:val="center"/>
          </w:tcPr>
          <w:p w14:paraId="539C2C4B">
            <w:pPr>
              <w:pStyle w:val="5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both"/>
            </w:pPr>
            <w:r>
              <w:t>Цель – повышение качества жизни, информационной и правовой культуры пожилых людей, развитие их гражданской активности, социальной инициативы и творческой самореализации.</w:t>
            </w:r>
          </w:p>
        </w:tc>
      </w:tr>
      <w:tr w14:paraId="7D6A4CE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099" w:type="dxa"/>
            <w:tcBorders>
              <w:top w:val="nil"/>
              <w:left w:val="nil"/>
              <w:bottom w:val="single" w:color="999999" w:sz="6" w:space="0"/>
              <w:right w:val="single" w:color="999999" w:sz="6" w:space="0"/>
            </w:tcBorders>
            <w:shd w:val="clear" w:color="auto" w:fill="FFFFFF"/>
            <w:tcMar>
              <w:top w:w="105" w:type="dxa"/>
              <w:left w:w="165" w:type="dxa"/>
              <w:bottom w:w="105" w:type="dxa"/>
              <w:right w:w="165" w:type="dxa"/>
            </w:tcMar>
            <w:vAlign w:val="center"/>
          </w:tcPr>
          <w:p w14:paraId="67FC1EA4">
            <w:pPr>
              <w:pStyle w:val="5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both"/>
            </w:pPr>
            <w:r>
              <w:t>12.</w:t>
            </w:r>
          </w:p>
        </w:tc>
        <w:tc>
          <w:tcPr>
            <w:tcW w:w="5495" w:type="dxa"/>
            <w:tcBorders>
              <w:top w:val="nil"/>
              <w:left w:val="nil"/>
              <w:bottom w:val="single" w:color="999999" w:sz="6" w:space="0"/>
              <w:right w:val="single" w:color="999999" w:sz="6" w:space="0"/>
            </w:tcBorders>
            <w:shd w:val="clear" w:color="auto" w:fill="FFFFFF"/>
            <w:tcMar>
              <w:top w:w="105" w:type="dxa"/>
              <w:left w:w="165" w:type="dxa"/>
              <w:bottom w:w="105" w:type="dxa"/>
              <w:right w:w="165" w:type="dxa"/>
            </w:tcMar>
            <w:vAlign w:val="center"/>
          </w:tcPr>
          <w:p w14:paraId="00BC866A">
            <w:pPr>
              <w:pStyle w:val="5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both"/>
            </w:pPr>
            <w:r>
              <w:t>Задачи проекта</w:t>
            </w:r>
            <w:bookmarkStart w:id="0" w:name="_GoBack"/>
            <w:bookmarkEnd w:id="0"/>
          </w:p>
        </w:tc>
        <w:tc>
          <w:tcPr>
            <w:tcW w:w="7445" w:type="dxa"/>
            <w:tcBorders>
              <w:top w:val="nil"/>
              <w:left w:val="nil"/>
              <w:bottom w:val="single" w:color="999999" w:sz="6" w:space="0"/>
              <w:right w:val="nil"/>
            </w:tcBorders>
            <w:shd w:val="clear" w:color="auto" w:fill="FFFFFF"/>
            <w:tcMar>
              <w:top w:w="105" w:type="dxa"/>
              <w:left w:w="165" w:type="dxa"/>
              <w:bottom w:w="105" w:type="dxa"/>
              <w:right w:w="165" w:type="dxa"/>
            </w:tcMar>
            <w:vAlign w:val="center"/>
          </w:tcPr>
          <w:p w14:paraId="4353BCBA">
            <w:pPr>
              <w:pStyle w:val="5"/>
              <w:keepNext w:val="0"/>
              <w:keepLines w:val="0"/>
              <w:widowControl/>
              <w:suppressLineNumbers w:val="0"/>
              <w:spacing w:before="0" w:beforeAutospacing="0" w:after="150" w:afterAutospacing="0"/>
              <w:ind w:left="0" w:right="0" w:firstLine="0"/>
              <w:jc w:val="both"/>
            </w:pPr>
            <w:r>
              <w:t>Вовлечение пожилых людей в активную жизнедеятельность посредством издания информационных публикаций.</w:t>
            </w:r>
          </w:p>
          <w:p w14:paraId="4AB13359">
            <w:pPr>
              <w:pStyle w:val="5"/>
              <w:keepNext w:val="0"/>
              <w:keepLines w:val="0"/>
              <w:widowControl/>
              <w:suppressLineNumbers w:val="0"/>
              <w:spacing w:before="0" w:beforeAutospacing="0" w:after="150" w:afterAutospacing="0"/>
              <w:ind w:left="0" w:right="0" w:firstLine="0"/>
              <w:jc w:val="both"/>
            </w:pPr>
            <w:r>
              <w:t>Повышение уровня компьютерной грамотности граждан пожилого возраста.</w:t>
            </w:r>
          </w:p>
          <w:p w14:paraId="25A65639">
            <w:pPr>
              <w:pStyle w:val="5"/>
              <w:keepNext w:val="0"/>
              <w:keepLines w:val="0"/>
              <w:widowControl/>
              <w:suppressLineNumbers w:val="0"/>
              <w:spacing w:before="0" w:beforeAutospacing="0" w:after="150" w:afterAutospacing="0"/>
              <w:ind w:left="0" w:right="0" w:firstLine="0"/>
              <w:jc w:val="both"/>
            </w:pPr>
            <w:r>
              <w:t>Организация информационно-просветительской работы среди граждан пожилого возраста по вопросам социальной защиты и социального обслуживания, пропаганде активного долголетия.</w:t>
            </w:r>
          </w:p>
          <w:p w14:paraId="54C8B7B6">
            <w:pPr>
              <w:pStyle w:val="5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both"/>
            </w:pPr>
            <w:r>
              <w:t>Привлечение общественного внимания к проблемам граждан пожилого возраста  в современных условиях.</w:t>
            </w:r>
          </w:p>
        </w:tc>
      </w:tr>
      <w:tr w14:paraId="37CB3A6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099" w:type="dxa"/>
            <w:tcBorders>
              <w:top w:val="nil"/>
              <w:left w:val="nil"/>
              <w:bottom w:val="single" w:color="999999" w:sz="6" w:space="0"/>
              <w:right w:val="single" w:color="999999" w:sz="6" w:space="0"/>
            </w:tcBorders>
            <w:shd w:val="clear" w:color="auto" w:fill="F2F9FF"/>
            <w:tcMar>
              <w:top w:w="105" w:type="dxa"/>
              <w:left w:w="165" w:type="dxa"/>
              <w:bottom w:w="105" w:type="dxa"/>
              <w:right w:w="165" w:type="dxa"/>
            </w:tcMar>
            <w:vAlign w:val="center"/>
          </w:tcPr>
          <w:p w14:paraId="560C6711">
            <w:pPr>
              <w:pStyle w:val="5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both"/>
            </w:pPr>
            <w:r>
              <w:t>13.</w:t>
            </w:r>
          </w:p>
        </w:tc>
        <w:tc>
          <w:tcPr>
            <w:tcW w:w="5495" w:type="dxa"/>
            <w:tcBorders>
              <w:top w:val="nil"/>
              <w:left w:val="nil"/>
              <w:bottom w:val="single" w:color="999999" w:sz="6" w:space="0"/>
              <w:right w:val="single" w:color="999999" w:sz="6" w:space="0"/>
            </w:tcBorders>
            <w:shd w:val="clear" w:color="auto" w:fill="F2F9FF"/>
            <w:tcMar>
              <w:top w:w="105" w:type="dxa"/>
              <w:left w:w="165" w:type="dxa"/>
              <w:bottom w:w="105" w:type="dxa"/>
              <w:right w:w="165" w:type="dxa"/>
            </w:tcMar>
            <w:vAlign w:val="center"/>
          </w:tcPr>
          <w:p w14:paraId="3812071E">
            <w:pPr>
              <w:pStyle w:val="5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both"/>
            </w:pPr>
            <w:r>
              <w:t>Детальное описание деятельности в рамках проекта в соответствии с поставленными задачами</w:t>
            </w:r>
          </w:p>
        </w:tc>
        <w:tc>
          <w:tcPr>
            <w:tcW w:w="7445" w:type="dxa"/>
            <w:tcBorders>
              <w:top w:val="nil"/>
              <w:left w:val="nil"/>
              <w:bottom w:val="single" w:color="999999" w:sz="6" w:space="0"/>
              <w:right w:val="nil"/>
            </w:tcBorders>
            <w:shd w:val="clear" w:color="auto" w:fill="F2F9FF"/>
            <w:tcMar>
              <w:top w:w="105" w:type="dxa"/>
              <w:left w:w="165" w:type="dxa"/>
              <w:bottom w:w="105" w:type="dxa"/>
              <w:right w:w="165" w:type="dxa"/>
            </w:tcMar>
            <w:vAlign w:val="center"/>
          </w:tcPr>
          <w:p w14:paraId="4EB3B17D">
            <w:pPr>
              <w:pStyle w:val="5"/>
              <w:keepNext w:val="0"/>
              <w:keepLines w:val="0"/>
              <w:widowControl/>
              <w:suppressLineNumbers w:val="0"/>
              <w:spacing w:before="0" w:beforeAutospacing="0" w:after="150" w:afterAutospacing="0"/>
              <w:ind w:left="0" w:right="0" w:firstLine="0"/>
              <w:jc w:val="both"/>
            </w:pPr>
            <w:r>
              <w:t>Целевая группа: граждане пожилого возраста.</w:t>
            </w:r>
          </w:p>
          <w:p w14:paraId="54ABDCB4">
            <w:pPr>
              <w:pStyle w:val="5"/>
              <w:keepNext w:val="0"/>
              <w:keepLines w:val="0"/>
              <w:widowControl/>
              <w:suppressLineNumbers w:val="0"/>
              <w:spacing w:before="0" w:beforeAutospacing="0" w:after="150" w:afterAutospacing="0"/>
              <w:ind w:left="0" w:right="0" w:firstLine="0"/>
              <w:jc w:val="both"/>
            </w:pPr>
            <w:r>
              <w:rPr>
                <w:b/>
                <w:bCs/>
              </w:rPr>
              <w:t>Мероприятие 1.</w:t>
            </w:r>
            <w:r>
              <w:t xml:space="preserve"> Закупка необходимого оборудования и материалов.</w:t>
            </w:r>
          </w:p>
          <w:p w14:paraId="5164BED8">
            <w:pPr>
              <w:pStyle w:val="5"/>
              <w:keepNext w:val="0"/>
              <w:keepLines w:val="0"/>
              <w:widowControl/>
              <w:suppressLineNumbers w:val="0"/>
              <w:spacing w:before="0" w:beforeAutospacing="0" w:after="150" w:afterAutospacing="0"/>
              <w:ind w:left="0" w:right="0" w:firstLine="0"/>
              <w:jc w:val="both"/>
            </w:pPr>
            <w:r>
              <w:t>Приобретение и установка оргтехники: компьютер (2 шт.), принтер лазерный с возможностями широкоформатной печати, сканер, фотоаппарат, диктофон.  Закупка материалов: бумага формата А3, А4, краска для принтера.</w:t>
            </w:r>
          </w:p>
          <w:p w14:paraId="46F55436">
            <w:pPr>
              <w:pStyle w:val="5"/>
              <w:keepNext w:val="0"/>
              <w:keepLines w:val="0"/>
              <w:widowControl/>
              <w:suppressLineNumbers w:val="0"/>
              <w:spacing w:before="0" w:beforeAutospacing="0" w:after="150" w:afterAutospacing="0"/>
              <w:ind w:left="0" w:right="0" w:firstLine="0"/>
              <w:jc w:val="both"/>
            </w:pPr>
            <w:r>
              <w:rPr>
                <w:b/>
                <w:bCs/>
              </w:rPr>
              <w:t>Мероприятие 2.</w:t>
            </w:r>
            <w:r>
              <w:t xml:space="preserve"> Формирование редакционной коллегии</w:t>
            </w:r>
          </w:p>
          <w:p w14:paraId="2C4323A4">
            <w:pPr>
              <w:pStyle w:val="5"/>
              <w:keepNext w:val="0"/>
              <w:keepLines w:val="0"/>
              <w:widowControl/>
              <w:suppressLineNumbers w:val="0"/>
              <w:spacing w:before="0" w:beforeAutospacing="0" w:after="150" w:afterAutospacing="0"/>
              <w:ind w:left="0" w:right="0" w:firstLine="0"/>
              <w:jc w:val="both"/>
            </w:pPr>
            <w:r>
              <w:t>На основании имеющихся у граждан пожилого возраста знаний и умений, индивидуальных предпочтений и творческих способностей формируется состав редакционной коллегии, распределяются обязанности. Организация и проведение круглого стола с целью определения примерного перечня разделов социального бюллетеня, каналов ее распространения.</w:t>
            </w:r>
          </w:p>
          <w:p w14:paraId="3C0B5E9D">
            <w:pPr>
              <w:pStyle w:val="5"/>
              <w:keepNext w:val="0"/>
              <w:keepLines w:val="0"/>
              <w:widowControl/>
              <w:suppressLineNumbers w:val="0"/>
              <w:spacing w:before="0" w:beforeAutospacing="0" w:after="150" w:afterAutospacing="0"/>
              <w:ind w:left="0" w:right="0" w:firstLine="0"/>
              <w:jc w:val="center"/>
            </w:pPr>
            <w:r>
              <w:drawing>
                <wp:inline distT="0" distB="0" distL="114300" distR="114300">
                  <wp:extent cx="3776980" cy="2522220"/>
                  <wp:effectExtent l="0" t="0" r="13970" b="11430"/>
                  <wp:docPr id="10" name="Изображение 10" descr="image003_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Изображение 10" descr="image003_27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6980" cy="2522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304800" cy="304800"/>
                  <wp:effectExtent l="0" t="0" r="0" b="0"/>
                  <wp:docPr id="4" name="Изображение 2" descr="IMG_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Изображение 2" descr="IMG_257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0FE93EB">
            <w:pPr>
              <w:pStyle w:val="5"/>
              <w:keepNext w:val="0"/>
              <w:keepLines w:val="0"/>
              <w:widowControl/>
              <w:suppressLineNumbers w:val="0"/>
              <w:spacing w:before="0" w:beforeAutospacing="0" w:after="150" w:afterAutospacing="0"/>
              <w:ind w:left="0" w:right="0" w:firstLine="0"/>
              <w:jc w:val="both"/>
            </w:pPr>
            <w:r>
              <w:rPr>
                <w:b/>
                <w:bCs/>
              </w:rPr>
              <w:t>Мероприятие 3.</w:t>
            </w:r>
            <w:r>
              <w:t xml:space="preserve"> Проведение обучающих семинаров по работе редколлегии</w:t>
            </w:r>
          </w:p>
          <w:p w14:paraId="2D964B04">
            <w:pPr>
              <w:pStyle w:val="5"/>
              <w:keepNext w:val="0"/>
              <w:keepLines w:val="0"/>
              <w:widowControl/>
              <w:suppressLineNumbers w:val="0"/>
              <w:spacing w:before="0" w:beforeAutospacing="0" w:after="150" w:afterAutospacing="0"/>
              <w:ind w:left="0" w:right="0" w:firstLine="0"/>
              <w:jc w:val="both"/>
            </w:pPr>
            <w:r>
              <w:t>Организация и проведение обучения граждан пожилого возраста, вошедших в состав редколлегии, базовым навыкам создания, редактирования, корректуры и верстки текста газеты; основам фотографии, их компьютерной обработке; формам, приемам и методам подготовки номера; принципам тематической и жанровой структуры газетного номера. Организация экскурсии в редакцию газеты «Бабруйскае жыццё», знакомства с работой верстальщика, корреспондента, редактора, фотокорреспондента. </w:t>
            </w:r>
          </w:p>
          <w:p w14:paraId="77BDD335">
            <w:pPr>
              <w:pStyle w:val="5"/>
              <w:keepNext w:val="0"/>
              <w:keepLines w:val="0"/>
              <w:widowControl/>
              <w:suppressLineNumbers w:val="0"/>
              <w:spacing w:before="0" w:beforeAutospacing="0" w:after="150" w:afterAutospacing="0"/>
              <w:ind w:left="0" w:right="0" w:firstLine="0"/>
              <w:jc w:val="center"/>
              <w:rPr>
                <w:rFonts w:hint="default"/>
                <w:lang w:val="ru-RU"/>
              </w:rPr>
            </w:pPr>
            <w:r>
              <w:rPr>
                <w:rFonts w:hint="default"/>
                <w:lang w:val="ru-RU"/>
              </w:rPr>
              <w:drawing>
                <wp:inline distT="0" distB="0" distL="114300" distR="114300">
                  <wp:extent cx="2955925" cy="3128645"/>
                  <wp:effectExtent l="0" t="0" r="15875" b="14605"/>
                  <wp:docPr id="5" name="Изображение 5" descr="IMG_20240318_101928_5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Изображение 5" descr="IMG_20240318_101928_573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t="23764" r="12564" b="69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5925" cy="3128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A45D528">
            <w:pPr>
              <w:pStyle w:val="5"/>
              <w:keepNext w:val="0"/>
              <w:keepLines w:val="0"/>
              <w:widowControl/>
              <w:suppressLineNumbers w:val="0"/>
              <w:spacing w:before="0" w:beforeAutospacing="0" w:after="150" w:afterAutospacing="0"/>
              <w:ind w:left="0" w:right="0" w:firstLine="0"/>
              <w:jc w:val="both"/>
            </w:pPr>
            <w:r>
              <w:rPr>
                <w:b/>
                <w:bCs/>
              </w:rPr>
              <w:t>Мероприятие 4.</w:t>
            </w:r>
            <w:r>
              <w:t xml:space="preserve"> Выпуск социального бюллетеня 1 раз в квартал тираж</w:t>
            </w:r>
            <w:r>
              <w:rPr>
                <w:lang w:val="ru-RU"/>
              </w:rPr>
              <w:t>ом</w:t>
            </w:r>
            <w:r>
              <w:t xml:space="preserve"> </w:t>
            </w:r>
            <w:r>
              <w:rPr>
                <w:rFonts w:hint="default"/>
                <w:lang w:val="ru-RU"/>
              </w:rPr>
              <w:t>7</w:t>
            </w:r>
            <w:r>
              <w:t>50 экземпляров. Подготовка информационных материалов. Презентация первого номера бюллетеня «Серебряный возраст». </w:t>
            </w:r>
          </w:p>
          <w:p w14:paraId="390085D6">
            <w:pPr>
              <w:pStyle w:val="5"/>
              <w:keepNext w:val="0"/>
              <w:keepLines w:val="0"/>
              <w:widowControl/>
              <w:suppressLineNumbers w:val="0"/>
              <w:spacing w:before="0" w:beforeAutospacing="0" w:after="150" w:afterAutospacing="0"/>
              <w:ind w:left="0" w:right="0" w:firstLine="0"/>
              <w:jc w:val="center"/>
              <w:rPr>
                <w:rFonts w:hint="default"/>
                <w:lang w:val="ru-RU"/>
              </w:rPr>
            </w:pPr>
            <w:r>
              <w:rPr>
                <w:rFonts w:hint="default"/>
                <w:lang w:val="ru-RU"/>
              </w:rPr>
              <w:drawing>
                <wp:inline distT="0" distB="0" distL="114300" distR="114300">
                  <wp:extent cx="3743960" cy="2552065"/>
                  <wp:effectExtent l="0" t="0" r="8890" b="635"/>
                  <wp:docPr id="15" name="Изображение 15" descr="image010_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Изображение 15" descr="image010_3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3960" cy="2552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7B6B770">
            <w:pPr>
              <w:pStyle w:val="5"/>
              <w:keepNext w:val="0"/>
              <w:keepLines w:val="0"/>
              <w:widowControl/>
              <w:suppressLineNumbers w:val="0"/>
              <w:spacing w:before="0" w:beforeAutospacing="0" w:after="150" w:afterAutospacing="0"/>
              <w:ind w:left="0" w:right="0" w:firstLine="0"/>
              <w:jc w:val="center"/>
              <w:rPr>
                <w:rFonts w:hint="default"/>
                <w:lang w:val="ru-RU"/>
              </w:rPr>
            </w:pPr>
            <w:r>
              <w:rPr>
                <w:rFonts w:hint="default"/>
                <w:lang w:val="ru-RU"/>
              </w:rPr>
              <w:drawing>
                <wp:inline distT="0" distB="0" distL="114300" distR="114300">
                  <wp:extent cx="3764915" cy="2050415"/>
                  <wp:effectExtent l="0" t="0" r="6985" b="6985"/>
                  <wp:docPr id="16" name="Изображение 16" descr="image012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Изображение 16" descr="image012_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64915" cy="2050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35EA09B">
            <w:pPr>
              <w:pStyle w:val="5"/>
              <w:keepNext w:val="0"/>
              <w:keepLines w:val="0"/>
              <w:widowControl/>
              <w:suppressLineNumbers w:val="0"/>
              <w:spacing w:before="0" w:beforeAutospacing="0" w:after="150" w:afterAutospacing="0"/>
              <w:ind w:left="0" w:right="0" w:firstLine="0"/>
              <w:jc w:val="center"/>
              <w:rPr>
                <w:rFonts w:hint="default"/>
                <w:lang w:val="ru-RU"/>
              </w:rPr>
            </w:pPr>
            <w:r>
              <w:rPr>
                <w:rFonts w:hint="default"/>
                <w:lang w:val="ru-RU"/>
              </w:rPr>
              <w:drawing>
                <wp:inline distT="0" distB="0" distL="114300" distR="114300">
                  <wp:extent cx="3736975" cy="2229485"/>
                  <wp:effectExtent l="0" t="0" r="15875" b="18415"/>
                  <wp:docPr id="17" name="Изображение 17" descr="image014_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Изображение 17" descr="image014_0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36975" cy="2229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42A8FC3">
            <w:pPr>
              <w:pStyle w:val="5"/>
              <w:keepNext w:val="0"/>
              <w:keepLines w:val="0"/>
              <w:widowControl/>
              <w:suppressLineNumbers w:val="0"/>
              <w:spacing w:before="0" w:beforeAutospacing="0" w:after="150" w:afterAutospacing="0"/>
              <w:ind w:left="0" w:right="0" w:firstLine="0"/>
              <w:jc w:val="both"/>
            </w:pPr>
            <w:r>
              <w:rPr>
                <w:b/>
                <w:bCs/>
              </w:rPr>
              <w:t>Мероприятие 5.</w:t>
            </w:r>
            <w:r>
              <w:t xml:space="preserve">  Информирование граждан города о ходе реализации проекта посредством СМИ с целью продвижения идей ЗОЖ, активного долголетия, освещения деятельности Центра в данном направлении.</w:t>
            </w:r>
          </w:p>
          <w:p w14:paraId="220C8881">
            <w:pPr>
              <w:pStyle w:val="5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both"/>
            </w:pPr>
            <w:r>
              <w:rPr>
                <w:b/>
                <w:bCs/>
              </w:rPr>
              <w:t>Мероприятие 6.</w:t>
            </w:r>
            <w:r>
              <w:t xml:space="preserve"> Подготовка и распространение информационных материалов для размещения в городских СМИ, распространение социального бюллетеня в почтовых отделениях, учреждениях здравоохранения, ветеранских организациях предприятий города.</w:t>
            </w:r>
          </w:p>
        </w:tc>
      </w:tr>
      <w:tr w14:paraId="78D5153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099" w:type="dxa"/>
            <w:tcBorders>
              <w:top w:val="nil"/>
              <w:left w:val="nil"/>
              <w:bottom w:val="single" w:color="999999" w:sz="6" w:space="0"/>
              <w:right w:val="single" w:color="999999" w:sz="6" w:space="0"/>
            </w:tcBorders>
            <w:shd w:val="clear" w:color="auto" w:fill="EBEAEA"/>
            <w:tcMar>
              <w:top w:w="105" w:type="dxa"/>
              <w:left w:w="165" w:type="dxa"/>
              <w:bottom w:w="105" w:type="dxa"/>
              <w:right w:w="165" w:type="dxa"/>
            </w:tcMar>
            <w:vAlign w:val="center"/>
          </w:tcPr>
          <w:p w14:paraId="0404333D">
            <w:pPr>
              <w:pStyle w:val="5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both"/>
              <w:rPr>
                <w:color w:val="auto"/>
              </w:rPr>
            </w:pPr>
            <w:r>
              <w:rPr>
                <w:color w:val="auto"/>
              </w:rPr>
              <w:t>14.</w:t>
            </w:r>
          </w:p>
        </w:tc>
        <w:tc>
          <w:tcPr>
            <w:tcW w:w="5495" w:type="dxa"/>
            <w:tcBorders>
              <w:top w:val="nil"/>
              <w:left w:val="nil"/>
              <w:bottom w:val="single" w:color="999999" w:sz="6" w:space="0"/>
              <w:right w:val="single" w:color="999999" w:sz="6" w:space="0"/>
            </w:tcBorders>
            <w:shd w:val="clear" w:color="auto" w:fill="EBEAEA"/>
            <w:tcMar>
              <w:top w:w="105" w:type="dxa"/>
              <w:left w:w="165" w:type="dxa"/>
              <w:bottom w:w="105" w:type="dxa"/>
              <w:right w:w="165" w:type="dxa"/>
            </w:tcMar>
            <w:vAlign w:val="center"/>
          </w:tcPr>
          <w:p w14:paraId="06259C0B">
            <w:pPr>
              <w:pStyle w:val="5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both"/>
              <w:rPr>
                <w:color w:val="auto"/>
              </w:rPr>
            </w:pPr>
            <w:r>
              <w:rPr>
                <w:color w:val="auto"/>
              </w:rPr>
              <w:t>Обоснование проекта</w:t>
            </w:r>
          </w:p>
        </w:tc>
        <w:tc>
          <w:tcPr>
            <w:tcW w:w="7445" w:type="dxa"/>
            <w:tcBorders>
              <w:top w:val="nil"/>
              <w:left w:val="nil"/>
              <w:bottom w:val="single" w:color="999999" w:sz="6" w:space="0"/>
              <w:right w:val="nil"/>
            </w:tcBorders>
            <w:shd w:val="clear" w:color="auto" w:fill="EBEAEA"/>
            <w:tcMar>
              <w:top w:w="105" w:type="dxa"/>
              <w:left w:w="165" w:type="dxa"/>
              <w:bottom w:w="105" w:type="dxa"/>
              <w:right w:w="165" w:type="dxa"/>
            </w:tcMar>
            <w:vAlign w:val="center"/>
          </w:tcPr>
          <w:p w14:paraId="4E00BA19">
            <w:pPr>
              <w:pStyle w:val="5"/>
              <w:keepNext w:val="0"/>
              <w:keepLines w:val="0"/>
              <w:widowControl/>
              <w:suppressLineNumbers w:val="0"/>
              <w:spacing w:before="0" w:beforeAutospacing="0" w:after="150" w:afterAutospacing="0"/>
              <w:ind w:left="0" w:right="0" w:firstLine="0"/>
              <w:jc w:val="both"/>
              <w:rPr>
                <w:rFonts w:hint="default"/>
                <w:color w:val="auto"/>
              </w:rPr>
            </w:pPr>
            <w:r>
              <w:rPr>
                <w:rFonts w:hint="default"/>
                <w:color w:val="auto"/>
              </w:rPr>
              <w:t>Согласно статистическим данным на 01.01.202</w:t>
            </w:r>
            <w:r>
              <w:rPr>
                <w:rFonts w:hint="default"/>
                <w:color w:val="auto"/>
                <w:lang w:val="ru-RU"/>
              </w:rPr>
              <w:t>5</w:t>
            </w:r>
            <w:r>
              <w:rPr>
                <w:rFonts w:hint="default"/>
                <w:color w:val="auto"/>
              </w:rPr>
              <w:t xml:space="preserve"> в Первомайском районе проживает </w:t>
            </w:r>
            <w:r>
              <w:rPr>
                <w:rFonts w:hint="default"/>
                <w:color w:val="auto"/>
                <w:lang w:val="ru-RU"/>
              </w:rPr>
              <w:t xml:space="preserve">31 221 </w:t>
            </w:r>
            <w:r>
              <w:rPr>
                <w:rFonts w:hint="default"/>
                <w:color w:val="auto"/>
              </w:rPr>
              <w:t xml:space="preserve"> </w:t>
            </w:r>
            <w:r>
              <w:rPr>
                <w:rFonts w:hint="default"/>
                <w:color w:val="auto"/>
                <w:lang w:val="ru-RU"/>
              </w:rPr>
              <w:t>бобруйчан пожилого возраста</w:t>
            </w:r>
            <w:r>
              <w:rPr>
                <w:rFonts w:hint="default"/>
                <w:color w:val="auto"/>
              </w:rPr>
              <w:t>, что составляет 2</w:t>
            </w:r>
            <w:r>
              <w:rPr>
                <w:rFonts w:hint="default"/>
                <w:color w:val="auto"/>
                <w:lang w:val="ru-RU"/>
              </w:rPr>
              <w:t>6</w:t>
            </w:r>
            <w:r>
              <w:rPr>
                <w:rFonts w:hint="default"/>
                <w:color w:val="auto"/>
              </w:rPr>
              <w:t xml:space="preserve"> % от всего населения района. </w:t>
            </w:r>
          </w:p>
          <w:p w14:paraId="65D3E30D">
            <w:pPr>
              <w:pStyle w:val="5"/>
              <w:keepNext w:val="0"/>
              <w:keepLines w:val="0"/>
              <w:widowControl/>
              <w:suppressLineNumbers w:val="0"/>
              <w:spacing w:before="0" w:beforeAutospacing="0" w:after="150" w:afterAutospacing="0"/>
              <w:ind w:left="0" w:right="0" w:firstLine="0"/>
              <w:jc w:val="both"/>
              <w:rPr>
                <w:rFonts w:hint="default"/>
                <w:color w:val="auto"/>
              </w:rPr>
            </w:pPr>
            <w:r>
              <w:rPr>
                <w:rFonts w:hint="default"/>
                <w:color w:val="auto"/>
              </w:rPr>
              <w:t xml:space="preserve">Сегодня в городе нет печатного издания, ориентированного на данную целевую группу, освещающего вопросы социальной поддержки пожилых граждан, оказание социальных услуг, организации досуговой деятельности для граждан пожилого возраста в г.Бобруйске, привлечению граждан пожилого возраста к участию в жизни общества. Решением данной проблемы является создание информационного бюллетеня для пожилых людей, который в простой и понятной форме сможет донести до целевой аудитории самые значимые события, происходящие в социальной сфере, объяснить пожилым гражданам их права, рассказать о возможностях, ответить на волнующие вопросы, привлечь к реализации проекта. </w:t>
            </w:r>
          </w:p>
          <w:p w14:paraId="611C65B2">
            <w:pPr>
              <w:pStyle w:val="5"/>
              <w:keepNext w:val="0"/>
              <w:keepLines w:val="0"/>
              <w:widowControl/>
              <w:suppressLineNumbers w:val="0"/>
              <w:spacing w:before="0" w:beforeAutospacing="0" w:after="150" w:afterAutospacing="0"/>
              <w:ind w:left="0" w:right="0" w:firstLine="0"/>
              <w:jc w:val="both"/>
              <w:rPr>
                <w:color w:val="auto"/>
              </w:rPr>
            </w:pPr>
            <w:r>
              <w:rPr>
                <w:color w:val="auto"/>
              </w:rPr>
              <w:t>Такой подход сделает информационный бюллетень дополнительным ресурсом для самореализации и проявления активной жизненной позиции граждан «серебряного» возраста; позволит не только разобраться в интересующих пожилых людей вопросах, но и высказать свое</w:t>
            </w:r>
            <w:r>
              <w:rPr>
                <w:rFonts w:hint="default"/>
                <w:color w:val="auto"/>
                <w:lang w:val="ru-RU"/>
              </w:rPr>
              <w:t xml:space="preserve"> </w:t>
            </w:r>
            <w:r>
              <w:rPr>
                <w:color w:val="auto"/>
              </w:rPr>
              <w:t>к ним отношение, поделиться своим жизненным опытом. Проект поможет пожилым людям повысить уровень компьютерной грамотности и информационную культуру посредством освоения новых информационных технологий и коммуникаций.</w:t>
            </w:r>
          </w:p>
          <w:p w14:paraId="3ED0A0AA">
            <w:pPr>
              <w:pStyle w:val="5"/>
              <w:keepNext w:val="0"/>
              <w:keepLines w:val="0"/>
              <w:widowControl/>
              <w:suppressLineNumbers w:val="0"/>
              <w:spacing w:before="0" w:beforeAutospacing="0" w:after="150" w:afterAutospacing="0"/>
              <w:ind w:left="0" w:right="0" w:firstLine="0"/>
              <w:jc w:val="both"/>
              <w:rPr>
                <w:color w:val="auto"/>
              </w:rPr>
            </w:pPr>
            <w:r>
              <w:rPr>
                <w:color w:val="auto"/>
              </w:rPr>
              <w:t>Проект будет реализован на базе отделения дневного пребывания для граждан пожилого возраста Центра, посетители отделения будут являться его издателями и корреспондентами.</w:t>
            </w:r>
          </w:p>
          <w:p w14:paraId="1A7B7C36">
            <w:pPr>
              <w:pStyle w:val="5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both"/>
              <w:rPr>
                <w:color w:val="auto"/>
              </w:rPr>
            </w:pPr>
            <w:r>
              <w:rPr>
                <w:color w:val="auto"/>
              </w:rPr>
              <w:t>По состоянию на 01.0</w:t>
            </w:r>
            <w:r>
              <w:rPr>
                <w:rFonts w:hint="default"/>
                <w:color w:val="auto"/>
                <w:lang w:val="ru-RU"/>
              </w:rPr>
              <w:t>1</w:t>
            </w:r>
            <w:r>
              <w:rPr>
                <w:color w:val="auto"/>
              </w:rPr>
              <w:t>.202</w:t>
            </w:r>
            <w:r>
              <w:rPr>
                <w:rFonts w:hint="default"/>
                <w:color w:val="auto"/>
                <w:lang w:val="ru-RU"/>
              </w:rPr>
              <w:t>5</w:t>
            </w:r>
            <w:r>
              <w:rPr>
                <w:color w:val="auto"/>
              </w:rPr>
              <w:t xml:space="preserve"> отделение посещают на постоянной основе </w:t>
            </w:r>
            <w:r>
              <w:rPr>
                <w:rFonts w:hint="default"/>
                <w:color w:val="auto"/>
                <w:lang w:val="ru-RU"/>
              </w:rPr>
              <w:t xml:space="preserve">272 </w:t>
            </w:r>
            <w:r>
              <w:rPr>
                <w:color w:val="auto"/>
              </w:rPr>
              <w:t xml:space="preserve"> граждан</w:t>
            </w:r>
            <w:r>
              <w:rPr>
                <w:color w:val="auto"/>
                <w:lang w:val="ru-RU"/>
              </w:rPr>
              <w:t>ина</w:t>
            </w:r>
            <w:r>
              <w:rPr>
                <w:color w:val="auto"/>
              </w:rPr>
              <w:t xml:space="preserve"> в возрасте 60 лет и старше.</w:t>
            </w:r>
          </w:p>
        </w:tc>
      </w:tr>
      <w:tr w14:paraId="151CAB6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099" w:type="dxa"/>
            <w:tcBorders>
              <w:top w:val="nil"/>
              <w:left w:val="nil"/>
              <w:bottom w:val="single" w:color="999999" w:sz="6" w:space="0"/>
              <w:right w:val="single" w:color="999999" w:sz="6" w:space="0"/>
            </w:tcBorders>
            <w:shd w:val="clear" w:color="auto" w:fill="F2F9FF"/>
            <w:tcMar>
              <w:top w:w="105" w:type="dxa"/>
              <w:left w:w="165" w:type="dxa"/>
              <w:bottom w:w="105" w:type="dxa"/>
              <w:right w:w="165" w:type="dxa"/>
            </w:tcMar>
            <w:vAlign w:val="center"/>
          </w:tcPr>
          <w:p w14:paraId="273EEFFD">
            <w:pPr>
              <w:pStyle w:val="5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both"/>
            </w:pPr>
            <w:r>
              <w:t>15.</w:t>
            </w:r>
          </w:p>
        </w:tc>
        <w:tc>
          <w:tcPr>
            <w:tcW w:w="5495" w:type="dxa"/>
            <w:tcBorders>
              <w:top w:val="nil"/>
              <w:left w:val="nil"/>
              <w:bottom w:val="single" w:color="999999" w:sz="6" w:space="0"/>
              <w:right w:val="single" w:color="999999" w:sz="6" w:space="0"/>
            </w:tcBorders>
            <w:shd w:val="clear" w:color="auto" w:fill="F2F9FF"/>
            <w:tcMar>
              <w:top w:w="105" w:type="dxa"/>
              <w:left w:w="165" w:type="dxa"/>
              <w:bottom w:w="105" w:type="dxa"/>
              <w:right w:w="165" w:type="dxa"/>
            </w:tcMar>
            <w:vAlign w:val="center"/>
          </w:tcPr>
          <w:p w14:paraId="1F2559B8">
            <w:pPr>
              <w:pStyle w:val="5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both"/>
            </w:pPr>
            <w:r>
              <w:t>Деятельность после окончания проекта</w:t>
            </w:r>
          </w:p>
        </w:tc>
        <w:tc>
          <w:tcPr>
            <w:tcW w:w="7445" w:type="dxa"/>
            <w:tcBorders>
              <w:top w:val="nil"/>
              <w:left w:val="nil"/>
              <w:bottom w:val="single" w:color="999999" w:sz="6" w:space="0"/>
              <w:right w:val="nil"/>
            </w:tcBorders>
            <w:shd w:val="clear" w:color="auto" w:fill="F2F9FF"/>
            <w:tcMar>
              <w:top w:w="105" w:type="dxa"/>
              <w:left w:w="165" w:type="dxa"/>
              <w:bottom w:w="105" w:type="dxa"/>
              <w:right w:w="165" w:type="dxa"/>
            </w:tcMar>
            <w:vAlign w:val="center"/>
          </w:tcPr>
          <w:p w14:paraId="33CD7C93">
            <w:pPr>
              <w:pStyle w:val="5"/>
              <w:keepNext w:val="0"/>
              <w:keepLines w:val="0"/>
              <w:widowControl/>
              <w:suppressLineNumbers w:val="0"/>
              <w:spacing w:before="0" w:beforeAutospacing="0" w:after="150" w:afterAutospacing="0"/>
              <w:ind w:left="0" w:right="0" w:firstLine="0"/>
              <w:jc w:val="both"/>
            </w:pPr>
            <w:r>
              <w:t>Социальная активность горожан в возрасте 60 лет и старше, повышение уровня их информированности в области социальной политики, оказания социальных услуг.</w:t>
            </w:r>
          </w:p>
          <w:p w14:paraId="57C4367A">
            <w:pPr>
              <w:pStyle w:val="5"/>
              <w:keepNext w:val="0"/>
              <w:keepLines w:val="0"/>
              <w:widowControl/>
              <w:suppressLineNumbers w:val="0"/>
              <w:spacing w:before="0" w:beforeAutospacing="0" w:after="150" w:afterAutospacing="0"/>
              <w:ind w:left="0" w:right="0" w:firstLine="0"/>
              <w:jc w:val="both"/>
            </w:pPr>
            <w:r>
              <w:t>Устойчивость проекта обеспечивается его материально-технической базой, продолжением деятельности с целевой группой и привлечением новых участников в издание социального бюллетеня.</w:t>
            </w:r>
          </w:p>
          <w:p w14:paraId="64F5C874">
            <w:pPr>
              <w:pStyle w:val="5"/>
              <w:keepNext w:val="0"/>
              <w:keepLines w:val="0"/>
              <w:widowControl/>
              <w:suppressLineNumbers w:val="0"/>
              <w:spacing w:before="0" w:beforeAutospacing="0" w:after="150" w:afterAutospacing="0"/>
              <w:ind w:left="0" w:right="0" w:firstLine="0"/>
              <w:jc w:val="both"/>
            </w:pPr>
            <w:r>
              <w:t>Дальнейшее финансирование будет осуществляться за счёт внебюджетных средств, средств спонсоров (закупка расходных материалов, обслуживание оргтехники).</w:t>
            </w:r>
          </w:p>
          <w:p w14:paraId="69A6F167">
            <w:pPr>
              <w:pStyle w:val="5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both"/>
            </w:pPr>
            <w:r>
              <w:t>Наработанные материалы будут обобщены и представлены в средствах массовой информации как форма вовлечения пожилых граждан в активную жизнь общества.</w:t>
            </w:r>
          </w:p>
        </w:tc>
      </w:tr>
      <w:tr w14:paraId="5C514D70">
        <w:tblPrEx>
          <w:tblBorders>
            <w:top w:val="none" w:color="auto" w:sz="0" w:space="0"/>
            <w:left w:val="none" w:color="auto" w:sz="0" w:space="0"/>
            <w:bottom w:val="single" w:color="383838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099" w:type="dxa"/>
            <w:tcBorders>
              <w:top w:val="nil"/>
              <w:left w:val="nil"/>
              <w:bottom w:val="single" w:color="999999" w:sz="6" w:space="0"/>
              <w:right w:val="single" w:color="999999" w:sz="6" w:space="0"/>
            </w:tcBorders>
            <w:shd w:val="clear" w:color="auto" w:fill="FFFFFF"/>
            <w:tcMar>
              <w:top w:w="105" w:type="dxa"/>
              <w:left w:w="165" w:type="dxa"/>
              <w:bottom w:w="105" w:type="dxa"/>
              <w:right w:w="165" w:type="dxa"/>
            </w:tcMar>
            <w:vAlign w:val="center"/>
          </w:tcPr>
          <w:p w14:paraId="71494ECB">
            <w:pPr>
              <w:pStyle w:val="5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both"/>
            </w:pPr>
            <w:r>
              <w:t>16.</w:t>
            </w:r>
          </w:p>
        </w:tc>
        <w:tc>
          <w:tcPr>
            <w:tcW w:w="5495" w:type="dxa"/>
            <w:tcBorders>
              <w:top w:val="nil"/>
              <w:left w:val="nil"/>
              <w:bottom w:val="single" w:color="999999" w:sz="6" w:space="0"/>
              <w:right w:val="single" w:color="999999" w:sz="6" w:space="0"/>
            </w:tcBorders>
            <w:shd w:val="clear" w:color="auto" w:fill="FFFFFF"/>
            <w:tcMar>
              <w:top w:w="105" w:type="dxa"/>
              <w:left w:w="165" w:type="dxa"/>
              <w:bottom w:w="105" w:type="dxa"/>
              <w:right w:w="165" w:type="dxa"/>
            </w:tcMar>
            <w:vAlign w:val="center"/>
          </w:tcPr>
          <w:p w14:paraId="5EA3D3D5">
            <w:pPr>
              <w:pStyle w:val="5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both"/>
            </w:pPr>
            <w:r>
              <w:t>Бюджет проекта</w:t>
            </w:r>
          </w:p>
        </w:tc>
        <w:tc>
          <w:tcPr>
            <w:tcW w:w="7445" w:type="dxa"/>
            <w:tcBorders>
              <w:top w:val="nil"/>
              <w:left w:val="nil"/>
              <w:bottom w:val="single" w:color="999999" w:sz="6" w:space="0"/>
              <w:right w:val="nil"/>
            </w:tcBorders>
            <w:shd w:val="clear" w:color="auto" w:fill="FFFFFF"/>
            <w:tcMar>
              <w:top w:w="105" w:type="dxa"/>
              <w:left w:w="165" w:type="dxa"/>
              <w:bottom w:w="105" w:type="dxa"/>
              <w:right w:w="165" w:type="dxa"/>
            </w:tcMar>
            <w:vAlign w:val="center"/>
          </w:tcPr>
          <w:p w14:paraId="43BC44D3">
            <w:pPr>
              <w:pStyle w:val="5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both"/>
            </w:pPr>
            <w:r>
              <w:t>8500 долларов США</w:t>
            </w:r>
          </w:p>
        </w:tc>
      </w:tr>
    </w:tbl>
    <w:p w14:paraId="39931FAF">
      <w:pPr>
        <w:pStyle w:val="5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600"/>
      </w:pPr>
      <w:r>
        <w:rPr>
          <w:rFonts w:ascii="sans-serif" w:hAnsi="sans-serif" w:eastAsia="sans-serif" w:cs="sans-serif"/>
          <w:i w:val="0"/>
          <w:iCs w:val="0"/>
          <w:caps w:val="0"/>
          <w:color w:val="333333"/>
          <w:spacing w:val="0"/>
          <w:sz w:val="21"/>
          <w:szCs w:val="21"/>
        </w:rPr>
        <w:t> </w:t>
      </w:r>
    </w:p>
    <w:p w14:paraId="13C122DF"/>
    <w:sectPr>
      <w:pgSz w:w="16838" w:h="11906" w:orient="landscape"/>
      <w:pgMar w:top="1800" w:right="1440" w:bottom="1800" w:left="144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sans-serif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708"/>
  <w:drawingGridVerticalSpacing w:val="156"/>
  <w:displayHorizontalDrawingGridEvery w:val="1"/>
  <w:displayVerticalDrawingGridEvery w:val="1"/>
  <w:noPunctuationKerning w:val="1"/>
  <w:characterSpacingControl w:val="doNotCompress"/>
  <w:compat>
    <w:spaceForUL/>
    <w:doNotLeaveBackslashAlone/>
    <w:ulTrailSpace/>
    <w:doNotExpandShiftReturn/>
    <w:adjustLineHeightInTable/>
    <w:doNotWrapTextWithPunct/>
    <w:doNotUseEastAsianBreakRules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FD419BE"/>
    <w:rsid w:val="121B77DB"/>
    <w:rsid w:val="2707634C"/>
    <w:rsid w:val="4FD419BE"/>
    <w:rsid w:val="5454019C"/>
    <w:rsid w:val="547B0D29"/>
    <w:rsid w:val="592956E3"/>
    <w:rsid w:val="6541038B"/>
    <w:rsid w:val="65A6319D"/>
    <w:rsid w:val="6BEB4CC6"/>
    <w:rsid w:val="7F0E65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2"/>
    <w:qFormat/>
    <w:uiPriority w:val="0"/>
    <w:rPr>
      <w:color w:val="0000FF"/>
      <w:u w:val="single"/>
    </w:rPr>
  </w:style>
  <w:style w:type="paragraph" w:styleId="5">
    <w:name w:val="Normal (Web)"/>
    <w:qFormat/>
    <w:uiPriority w:val="0"/>
    <w:pPr>
      <w:spacing w:before="0" w:beforeAutospacing="1" w:after="0" w:afterAutospacing="1"/>
      <w:ind w:left="0" w:right="0"/>
      <w:jc w:val="left"/>
    </w:pPr>
    <w:rPr>
      <w:rFonts w:ascii="Times New Roman" w:hAnsi="Times New Roman" w:eastAsia="SimSun" w:cs="Times New Roman"/>
      <w:kern w:val="0"/>
      <w:sz w:val="24"/>
      <w:szCs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../NUL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0</Words>
  <Characters>0</Characters>
  <Lines>0</Lines>
  <Paragraphs>0</Paragraphs>
  <TotalTime>47</TotalTime>
  <ScaleCrop>false</ScaleCrop>
  <LinksUpToDate>false</LinksUpToDate>
  <CharactersWithSpaces>0</CharactersWithSpaces>
  <Application>WPS Office_12.2.0.21179_F1E327BC-269C-435d-A152-05C5408002CA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2025-01-20T13:44:00Z</dcterms:created>
  <dc:creator>PC</dc:creator>
  <cp:lastModifiedBy>PC</cp:lastModifiedBy>
  <dcterms:modified xsi:type="dcterms:W3CDTF">2025-05-19T05:36:14Z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1049-12.2.0.21179</vt:lpwstr>
  </property>
  <property fmtid="{D5CDD505-2E9C-101B-9397-08002B2CF9AE}" pid="3" name="ICV">
    <vt:lpwstr>1AC3CCD22D144457B7565A9F79771719_11</vt:lpwstr>
  </property>
</Properties>
</file>