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31.07.2023
 Национальный центр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МИНИСТЕРСТВА СПОРТА И ТУРИЗМА РЕСПУБЛИКИ БЕЛАРУСЬ</w:t>
      </w:r>
    </w:p>
    <w:p>
      <w:pPr>
        <w:jc w:val="center"/>
        <w:ind w:left="0" w:right="0" w:firstLine="0"/>
        <w:spacing w:after="60"/>
      </w:pPr>
      <w:r>
        <w:rPr>
          <w:sz w:val="24"/>
          <w:szCs w:val="24"/>
        </w:rPr>
        <w:t xml:space="preserve">4 июля 2023 г.</w:t>
      </w:r>
      <w:r>
        <w:rPr>
          <w:sz w:val="24"/>
          <w:szCs w:val="24"/>
        </w:rPr>
        <w:t xml:space="preserve"> </w:t>
      </w:r>
      <w:r>
        <w:rPr>
          <w:sz w:val="24"/>
          <w:szCs w:val="24"/>
        </w:rPr>
        <w:t xml:space="preserve">№ 34</w:t>
      </w:r>
    </w:p>
    <w:p>
      <w:pPr>
        <w:spacing w:before="240" w:after="240"/>
      </w:pPr>
      <w:r>
        <w:rPr>
          <w:sz w:val="28"/>
          <w:szCs w:val="28"/>
          <w:b/>
          <w:bCs/>
        </w:rPr>
        <w:t xml:space="preserve">О лишении государственной аккредитации</w:t>
      </w:r>
    </w:p>
    <w:p>
      <w:pPr>
        <w:jc w:val="both"/>
        <w:ind w:left="0" w:right="0" w:firstLine="566.92913385827"/>
        <w:spacing w:after="60"/>
      </w:pPr>
      <w:r>
        <w:rPr>
          <w:sz w:val="24"/>
          <w:szCs w:val="24"/>
        </w:rPr>
        <w:t xml:space="preserve">На основании пункта 9 статьи 15</w:t>
      </w:r>
      <w:r>
        <w:rPr>
          <w:sz w:val="24"/>
          <w:szCs w:val="24"/>
          <w:vertAlign w:val="superscript"/>
        </w:rPr>
        <w:t xml:space="preserve">1</w:t>
      </w:r>
      <w:r>
        <w:rPr>
          <w:sz w:val="24"/>
          <w:szCs w:val="24"/>
        </w:rPr>
        <w:t xml:space="preserve"> Закона Республики Беларусь от 4 января 2014 г. № 125-З «О физической культуре и спорте» Министерство спорта и туризма Республики Беларусь ПОСТАНОВЛЯЕТ:</w:t>
      </w:r>
    </w:p>
    <w:p>
      <w:pPr>
        <w:jc w:val="both"/>
        <w:ind w:left="0" w:right="0" w:firstLine="566.92913385827"/>
        <w:spacing w:after="60"/>
      </w:pPr>
      <w:r>
        <w:rPr>
          <w:sz w:val="24"/>
          <w:szCs w:val="24"/>
        </w:rPr>
        <w:t xml:space="preserve">1. Утвердить Инструкцию о порядке лишения государственной аккредитации на право осуществления деятельности по развитию физической культуры и спорта (прилагается).</w:t>
      </w:r>
    </w:p>
    <w:p>
      <w:pPr>
        <w:jc w:val="both"/>
        <w:ind w:left="0" w:right="0" w:firstLine="566.92913385827"/>
        <w:spacing w:after="60"/>
      </w:pPr>
      <w:r>
        <w:rPr>
          <w:sz w:val="24"/>
          <w:szCs w:val="24"/>
        </w:rPr>
        <w:t xml:space="preserve">2. Настоящее постановление вступает в силу после его официального опубликования.</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Министр</w:t>
            </w:r>
          </w:p>
        </w:tc>
        <w:tc>
          <w:tcPr>
            <w:tcW w:w="2500" w:type="pct"/>
            <w:vAlign w:val="bottom"/>
            <w:vMerge w:val="restart"/>
          </w:tcPr>
          <w:p>
            <w:pPr>
              <w:jc w:val="right"/>
              <w:ind w:left="0" w:right="0" w:firstLine="0"/>
              <w:spacing w:after="60"/>
            </w:pPr>
            <w:r>
              <w:rPr>
                <w:sz w:val="22"/>
                <w:szCs w:val="22"/>
                <w:b/>
                <w:bCs/>
              </w:rPr>
              <w:t xml:space="preserve">С.М.Ковальчук</w:t>
            </w:r>
          </w:p>
        </w:tc>
      </w:tr>
    </w:tbl>
    <w:p>
      <w:pPr>
        <w:jc w:val="both"/>
        <w:ind w:left="0" w:right="0" w:firstLine="0"/>
        <w:spacing w:after="60"/>
      </w:pPr>
      <w:r>
        <w:rPr>
          <w:sz w:val="24"/>
          <w:szCs w:val="24"/>
        </w:rPr>
        <w:t xml:space="preserve"> </w:t>
      </w:r>
    </w:p>
    <w:p>
      <w:pPr>
        <w:spacing w:after="28.000005"/>
      </w:pPr>
      <w:r>
        <w:rPr>
          <w:sz w:val="22"/>
          <w:szCs w:val="22"/>
        </w:rPr>
        <w:t xml:space="preserve">СОГЛАСОВАНО</w:t>
      </w:r>
    </w:p>
    <w:p>
      <w:pPr>
        <w:spacing w:after="28.000005"/>
      </w:pPr>
      <w:r>
        <w:rPr>
          <w:sz w:val="22"/>
          <w:szCs w:val="22"/>
        </w:rPr>
        <w:t xml:space="preserve">Брестский областной</w:t>
      </w:r>
    </w:p>
    <w:p>
      <w:pPr>
        <w:spacing w:after="28.000005"/>
      </w:pPr>
      <w:r>
        <w:rPr>
          <w:sz w:val="22"/>
          <w:szCs w:val="22"/>
        </w:rPr>
        <w:t xml:space="preserve">исполнительный комитет</w:t>
      </w:r>
    </w:p>
    <w:p>
      <w:pPr>
        <w:spacing w:after="28.000005"/>
      </w:pPr>
      <w:r>
        <w:rPr>
          <w:sz w:val="22"/>
          <w:szCs w:val="22"/>
        </w:rPr>
        <w:t xml:space="preserve"> </w:t>
      </w:r>
    </w:p>
    <w:p>
      <w:pPr>
        <w:spacing w:after="28.000005"/>
      </w:pPr>
      <w:r>
        <w:rPr>
          <w:sz w:val="22"/>
          <w:szCs w:val="22"/>
        </w:rPr>
        <w:t xml:space="preserve">Витебский областной</w:t>
      </w:r>
    </w:p>
    <w:p>
      <w:pPr>
        <w:spacing w:after="28.000005"/>
      </w:pPr>
      <w:r>
        <w:rPr>
          <w:sz w:val="22"/>
          <w:szCs w:val="22"/>
        </w:rPr>
        <w:t xml:space="preserve">исполнительный комитет</w:t>
      </w:r>
    </w:p>
    <w:p>
      <w:pPr>
        <w:spacing w:after="28.000005"/>
      </w:pPr>
      <w:r>
        <w:rPr>
          <w:sz w:val="22"/>
          <w:szCs w:val="22"/>
        </w:rPr>
        <w:t xml:space="preserve"> </w:t>
      </w:r>
    </w:p>
    <w:p>
      <w:pPr>
        <w:spacing w:after="28.000005"/>
      </w:pPr>
      <w:r>
        <w:rPr>
          <w:sz w:val="22"/>
          <w:szCs w:val="22"/>
        </w:rPr>
        <w:t xml:space="preserve">Гомельский областной</w:t>
      </w:r>
    </w:p>
    <w:p>
      <w:pPr>
        <w:spacing w:after="28.000005"/>
      </w:pPr>
      <w:r>
        <w:rPr>
          <w:sz w:val="22"/>
          <w:szCs w:val="22"/>
        </w:rPr>
        <w:t xml:space="preserve">исполнительный комитет</w:t>
      </w:r>
    </w:p>
    <w:p>
      <w:pPr>
        <w:spacing w:after="28.000005"/>
      </w:pPr>
      <w:r>
        <w:rPr>
          <w:sz w:val="22"/>
          <w:szCs w:val="22"/>
        </w:rPr>
        <w:t xml:space="preserve"> </w:t>
      </w:r>
    </w:p>
    <w:p>
      <w:pPr>
        <w:spacing w:after="28.000005"/>
      </w:pPr>
      <w:r>
        <w:rPr>
          <w:sz w:val="22"/>
          <w:szCs w:val="22"/>
        </w:rPr>
        <w:t xml:space="preserve">Гродненский областной</w:t>
      </w:r>
    </w:p>
    <w:p>
      <w:pPr>
        <w:spacing w:after="28.000005"/>
      </w:pPr>
      <w:r>
        <w:rPr>
          <w:sz w:val="22"/>
          <w:szCs w:val="22"/>
        </w:rPr>
        <w:t xml:space="preserve">исполнительный комитет</w:t>
      </w:r>
    </w:p>
    <w:p>
      <w:pPr>
        <w:spacing w:after="28.000005"/>
      </w:pPr>
      <w:r>
        <w:rPr>
          <w:sz w:val="22"/>
          <w:szCs w:val="22"/>
        </w:rPr>
        <w:t xml:space="preserve"> </w:t>
      </w:r>
    </w:p>
    <w:p>
      <w:pPr>
        <w:spacing w:after="28.000005"/>
      </w:pPr>
      <w:r>
        <w:rPr>
          <w:sz w:val="22"/>
          <w:szCs w:val="22"/>
        </w:rPr>
        <w:t xml:space="preserve">Минский городской</w:t>
      </w:r>
    </w:p>
    <w:p>
      <w:pPr>
        <w:spacing w:after="28.000005"/>
      </w:pPr>
      <w:r>
        <w:rPr>
          <w:sz w:val="22"/>
          <w:szCs w:val="22"/>
        </w:rPr>
        <w:t xml:space="preserve">исполнительный комитет</w:t>
      </w:r>
    </w:p>
    <w:p>
      <w:pPr>
        <w:spacing w:after="28.000005"/>
      </w:pPr>
      <w:r>
        <w:rPr>
          <w:sz w:val="22"/>
          <w:szCs w:val="22"/>
        </w:rPr>
        <w:t xml:space="preserve"> </w:t>
      </w:r>
    </w:p>
    <w:p>
      <w:pPr>
        <w:spacing w:after="28.000005"/>
      </w:pPr>
      <w:r>
        <w:rPr>
          <w:sz w:val="22"/>
          <w:szCs w:val="22"/>
        </w:rPr>
        <w:t xml:space="preserve">Минский областной</w:t>
      </w:r>
    </w:p>
    <w:p>
      <w:pPr>
        <w:spacing w:after="28.000005"/>
      </w:pPr>
      <w:r>
        <w:rPr>
          <w:sz w:val="22"/>
          <w:szCs w:val="22"/>
        </w:rPr>
        <w:t xml:space="preserve">исполнительный комитет</w:t>
      </w:r>
    </w:p>
    <w:p>
      <w:pPr>
        <w:spacing w:after="28.000005"/>
      </w:pPr>
      <w:r>
        <w:rPr>
          <w:sz w:val="22"/>
          <w:szCs w:val="22"/>
        </w:rPr>
        <w:t xml:space="preserve"> </w:t>
      </w:r>
    </w:p>
    <w:p>
      <w:pPr>
        <w:spacing w:after="28.000005"/>
      </w:pPr>
      <w:r>
        <w:rPr>
          <w:sz w:val="22"/>
          <w:szCs w:val="22"/>
        </w:rPr>
        <w:t xml:space="preserve">Могилевский областной</w:t>
      </w:r>
    </w:p>
    <w:p>
      <w:pPr>
        <w:spacing w:after="28.000005"/>
      </w:pPr>
      <w:r>
        <w:rPr>
          <w:sz w:val="22"/>
          <w:szCs w:val="22"/>
        </w:rPr>
        <w:t xml:space="preserve">исполнительный комитет</w:t>
      </w:r>
    </w:p>
    <w:p>
      <w:pPr>
        <w:spacing w:after="28.000005"/>
      </w:pPr>
      <w:r>
        <w:rPr>
          <w:sz w:val="22"/>
          <w:szCs w:val="22"/>
        </w:rPr>
        <w:t xml:space="preserve"> </w:t>
      </w:r>
    </w:p>
    <w:p>
      <w:pPr>
        <w:spacing w:after="28.000005"/>
      </w:pPr>
      <w:r>
        <w:rPr>
          <w:sz w:val="22"/>
          <w:szCs w:val="22"/>
        </w:rPr>
        <w:t xml:space="preserve">Министерство экономики</w:t>
      </w:r>
    </w:p>
    <w:p>
      <w:pPr>
        <w:spacing w:after="28.000005"/>
      </w:pPr>
      <w:r>
        <w:rPr>
          <w:sz w:val="22"/>
          <w:szCs w:val="22"/>
        </w:rPr>
        <w:t xml:space="preserve">Республики Беларусь</w:t>
      </w:r>
    </w:p>
    <w:p>
      <w:pPr>
        <w:spacing w:after="28.000005"/>
      </w:pPr>
      <w:r>
        <w:rPr>
          <w:sz w:val="22"/>
          <w:szCs w:val="22"/>
        </w:rPr>
        <w:t xml:space="preserve"> </w:t>
      </w:r>
    </w:p>
    <w:p>
      <w:pPr>
        <w:spacing w:after="28.000005"/>
      </w:pPr>
      <w:r>
        <w:rPr>
          <w:sz w:val="22"/>
          <w:szCs w:val="22"/>
        </w:rPr>
        <w:t xml:space="preserve">Республиканское государственно-общественное</w:t>
      </w:r>
    </w:p>
    <w:p>
      <w:pPr>
        <w:spacing w:after="28.000005"/>
      </w:pPr>
      <w:r>
        <w:rPr>
          <w:sz w:val="22"/>
          <w:szCs w:val="22"/>
        </w:rPr>
        <w:t xml:space="preserve">объединение «Белорусское</w:t>
      </w:r>
    </w:p>
    <w:p>
      <w:pPr>
        <w:spacing w:after="28.000005"/>
      </w:pPr>
      <w:r>
        <w:rPr>
          <w:sz w:val="22"/>
          <w:szCs w:val="22"/>
        </w:rPr>
        <w:t xml:space="preserve">физкультурно-спортивное общество «Динамо»</w:t>
      </w:r>
    </w:p>
    <w:p>
      <w:pPr>
        <w:spacing w:after="28.000005"/>
      </w:pPr>
      <w:r>
        <w:rPr>
          <w:sz w:val="22"/>
          <w:szCs w:val="22"/>
        </w:rPr>
        <w:t xml:space="preserve"> </w:t>
      </w:r>
    </w:p>
    <w:p>
      <w:pPr>
        <w:spacing w:after="28.000005"/>
      </w:pPr>
      <w:r>
        <w:rPr>
          <w:sz w:val="22"/>
          <w:szCs w:val="22"/>
        </w:rPr>
        <w:t xml:space="preserve">Республиканское государственно-общественное</w:t>
      </w:r>
    </w:p>
    <w:p>
      <w:pPr>
        <w:spacing w:after="28.000005"/>
      </w:pPr>
      <w:r>
        <w:rPr>
          <w:sz w:val="22"/>
          <w:szCs w:val="22"/>
        </w:rPr>
        <w:t xml:space="preserve">объединение «Добровольное общество</w:t>
      </w:r>
    </w:p>
    <w:p>
      <w:pPr>
        <w:spacing w:after="28.000005"/>
      </w:pPr>
      <w:r>
        <w:rPr>
          <w:sz w:val="22"/>
          <w:szCs w:val="22"/>
        </w:rPr>
        <w:t xml:space="preserve">содействия армии, авиации и флоту</w:t>
      </w:r>
    </w:p>
    <w:p>
      <w:pPr>
        <w:spacing w:after="28.000005"/>
      </w:pPr>
      <w:r>
        <w:rPr>
          <w:sz w:val="22"/>
          <w:szCs w:val="22"/>
        </w:rPr>
        <w:t xml:space="preserve">Республики Беларусь»</w:t>
      </w:r>
    </w:p>
    <w:p>
      <w:pPr>
        <w:spacing w:after="28.000005"/>
      </w:pPr>
      <w:r>
        <w:rPr>
          <w:sz w:val="22"/>
          <w:szCs w:val="22"/>
        </w:rPr>
        <w:t xml:space="preserve"> </w:t>
      </w:r>
    </w:p>
    <w:p>
      <w:pPr>
        <w:spacing w:after="28.000005"/>
      </w:pPr>
      <w:r>
        <w:rPr>
          <w:sz w:val="22"/>
          <w:szCs w:val="22"/>
        </w:rPr>
        <w:t xml:space="preserve">Общественное объединение</w:t>
      </w:r>
    </w:p>
    <w:p>
      <w:pPr>
        <w:spacing w:after="28.000005"/>
      </w:pPr>
      <w:r>
        <w:rPr>
          <w:sz w:val="22"/>
          <w:szCs w:val="22"/>
        </w:rPr>
        <w:t xml:space="preserve">«Белорусская спортивная федерация глухих»</w:t>
      </w:r>
    </w:p>
    <w:p>
      <w:pPr>
        <w:spacing w:after="28.000005"/>
      </w:pPr>
      <w:r>
        <w:rPr>
          <w:sz w:val="22"/>
          <w:szCs w:val="22"/>
        </w:rPr>
        <w:t xml:space="preserve"> </w:t>
      </w:r>
    </w:p>
    <w:p>
      <w:pPr>
        <w:spacing w:after="28.000005"/>
      </w:pPr>
      <w:r>
        <w:rPr>
          <w:sz w:val="22"/>
          <w:szCs w:val="22"/>
        </w:rPr>
        <w:t xml:space="preserve">Общественное объединение</w:t>
      </w:r>
    </w:p>
    <w:p>
      <w:pPr>
        <w:spacing w:after="28.000005"/>
      </w:pPr>
      <w:r>
        <w:rPr>
          <w:sz w:val="22"/>
          <w:szCs w:val="22"/>
        </w:rPr>
        <w:t xml:space="preserve">«Белорусский комитет «Спешиал Олимпикс»</w:t>
      </w:r>
    </w:p>
    <w:p>
      <w:pPr>
        <w:jc w:val="both"/>
        <w:ind w:left="0" w:right="0" w:firstLine="566.92913385827"/>
        <w:spacing w:after="60"/>
      </w:pPr>
      <w:r>
        <w:rPr>
          <w:sz w:val="24"/>
          <w:szCs w:val="24"/>
        </w:rPr>
        <w:t xml:space="preserve"> </w:t>
      </w:r>
    </w:p>
    <w:tbl>
      <w:tblGrid>
        <w:gridCol w:w="3864" w:type="dxa"/>
        <w:gridCol w:w="1136" w:type="dxa"/>
      </w:tblGrid>
      <w:tblPr>
        <w:tblW w:w="5000" w:type="pct"/>
        <w:tblCellSpacing w:w="0" w:type="dxa"/>
        <w:tblLayout w:type="autofit"/>
      </w:tblPr>
      <w:tr>
        <w:trPr/>
        <w:tc>
          <w:tcPr>
            <w:tcW w:w="3864" w:type="pct"/>
            <w:vAlign w:val="top"/>
            <w:vMerge w:val="restart"/>
          </w:tcPr>
          <w:p>
            <w:pPr>
              <w:jc w:val="both"/>
              <w:ind w:left="0" w:right="0" w:firstLine="566.92913385827"/>
              <w:spacing w:after="60"/>
            </w:pPr>
            <w:r>
              <w:rPr>
                <w:sz w:val="24"/>
                <w:szCs w:val="24"/>
              </w:rPr>
              <w:t xml:space="preserve"> </w:t>
            </w:r>
          </w:p>
        </w:tc>
        <w:tc>
          <w:tcPr>
            <w:tcW w:w="1136"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Министерства</w:t>
            </w:r>
            <w:br/>
            <w:r>
              <w:rPr>
                <w:sz w:val="22"/>
                <w:szCs w:val="22"/>
              </w:rPr>
              <w:t xml:space="preserve">спорта и туризма</w:t>
            </w:r>
            <w:br/>
            <w:r>
              <w:rPr>
                <w:sz w:val="22"/>
                <w:szCs w:val="22"/>
              </w:rPr>
              <w:t xml:space="preserve">Республики Беларусь</w:t>
            </w:r>
          </w:p>
          <w:p>
            <w:pPr>
              <w:spacing w:after="60"/>
            </w:pPr>
            <w:r>
              <w:rPr>
                <w:sz w:val="22"/>
                <w:szCs w:val="22"/>
              </w:rPr>
              <w:t xml:space="preserve">04.07.2023 № 34</w:t>
            </w:r>
          </w:p>
        </w:tc>
      </w:tr>
    </w:tbl>
    <w:p>
      <w:pPr>
        <w:spacing w:before="240" w:after="240"/>
      </w:pPr>
      <w:r>
        <w:rPr>
          <w:sz w:val="24"/>
          <w:szCs w:val="24"/>
          <w:b/>
          <w:bCs/>
        </w:rPr>
        <w:t xml:space="preserve">ИНСТРУКЦИЯ</w:t>
      </w:r>
      <w:br/>
      <w:r>
        <w:rPr>
          <w:sz w:val="24"/>
          <w:szCs w:val="24"/>
          <w:b/>
          <w:bCs/>
        </w:rPr>
        <w:t xml:space="preserve">о порядке лишения государственной аккредитации на право осуществления деятельности по развитию физической культуры и спорта</w:t>
      </w:r>
    </w:p>
    <w:p>
      <w:pPr>
        <w:jc w:val="both"/>
        <w:ind w:left="0" w:right="0" w:firstLine="566.92913385827"/>
        <w:spacing w:after="60"/>
      </w:pPr>
      <w:r>
        <w:rPr>
          <w:sz w:val="24"/>
          <w:szCs w:val="24"/>
        </w:rPr>
        <w:t xml:space="preserve">1. Настоящая Инструкция устанавливает порядок лишения организаций и индивидуальных предпринимателей государственной аккредитации на право осуществления деятельности по развитию физической культуры и спорта (далее, если не установлено иное, – государственная аккредитация) государственными органами и организациями, проводящими государственную аккредитацию (подтверждение государственной аккредитации), указанными в пункте 4 статьи 15</w:t>
      </w:r>
      <w:r>
        <w:rPr>
          <w:sz w:val="24"/>
          <w:szCs w:val="24"/>
          <w:vertAlign w:val="superscript"/>
        </w:rPr>
        <w:t xml:space="preserve">1</w:t>
      </w:r>
      <w:r>
        <w:rPr>
          <w:sz w:val="24"/>
          <w:szCs w:val="24"/>
        </w:rPr>
        <w:t xml:space="preserve"> Закона Республики Беларусь «О физической культуре и спорте» (далее, если не установлено иное, – уполномоченный орган).</w:t>
      </w:r>
    </w:p>
    <w:p>
      <w:pPr>
        <w:jc w:val="both"/>
        <w:ind w:left="0" w:right="0" w:firstLine="566.92913385827"/>
        <w:spacing w:after="60"/>
      </w:pPr>
      <w:r>
        <w:rPr>
          <w:sz w:val="24"/>
          <w:szCs w:val="24"/>
        </w:rPr>
        <w:t xml:space="preserve">2. Лишение государственной аккредитации осуществляется уполномоченным органом на основании критериев, установленных приложением 3 к постановлению Совета Министров Республики Беларусь от 28 июня 2023 г. № 416 «О критериях для прохождения (подтверждения, лишения) государственной аккредитации».</w:t>
      </w:r>
    </w:p>
    <w:p>
      <w:pPr>
        <w:jc w:val="both"/>
        <w:ind w:left="0" w:right="0" w:firstLine="566.92913385827"/>
        <w:spacing w:after="60"/>
      </w:pPr>
      <w:r>
        <w:rPr>
          <w:sz w:val="24"/>
          <w:szCs w:val="24"/>
        </w:rPr>
        <w:t xml:space="preserve">3. При поступлении в уполномоченный орган информации, в которой усматриваются факты, соответствующие критериям для лишения государственной аккредитации, в том числе полученной от государственного органа, иной организации или физического лица (за исключением анонимной), уполномоченный орган передает эту информацию на рассмотрение созданной им комиссии для определения соответствия или несоответствия этих фактов конкретным критериям для лишения государственной аккредитации и оценки достоверности этих фактов.</w:t>
      </w:r>
    </w:p>
    <w:p>
      <w:pPr>
        <w:jc w:val="both"/>
        <w:ind w:left="0" w:right="0" w:firstLine="566.92913385827"/>
        <w:spacing w:after="60"/>
      </w:pPr>
      <w:r>
        <w:rPr>
          <w:sz w:val="24"/>
          <w:szCs w:val="24"/>
        </w:rPr>
        <w:t xml:space="preserve">4. Комиссия является постоянно действующим органом. Персональный состав и положение о комиссии утверждаются уполномоченным органом.</w:t>
      </w:r>
    </w:p>
    <w:p>
      <w:pPr>
        <w:jc w:val="both"/>
        <w:ind w:left="0" w:right="0" w:firstLine="566.92913385827"/>
        <w:spacing w:after="60"/>
      </w:pPr>
      <w:r>
        <w:rPr>
          <w:sz w:val="24"/>
          <w:szCs w:val="24"/>
        </w:rPr>
        <w:t xml:space="preserve">5. Для установления достоверности фактов, соответствующих критериям для лишения государственной аккредитации, комиссия имеет право просить уполномоченный орган, при котором она создана:</w:t>
      </w:r>
    </w:p>
    <w:p>
      <w:pPr>
        <w:jc w:val="both"/>
        <w:ind w:left="0" w:right="0" w:firstLine="566.92913385827"/>
        <w:spacing w:after="60"/>
      </w:pPr>
      <w:r>
        <w:rPr>
          <w:sz w:val="24"/>
          <w:szCs w:val="24"/>
        </w:rPr>
        <w:t xml:space="preserve">о направлении в случаях, установленных законодательством, запросов в компетентные органы и (или) организации;</w:t>
      </w:r>
    </w:p>
    <w:p>
      <w:pPr>
        <w:jc w:val="both"/>
        <w:ind w:left="0" w:right="0" w:firstLine="566.92913385827"/>
        <w:spacing w:after="60"/>
      </w:pPr>
      <w:r>
        <w:rPr>
          <w:sz w:val="24"/>
          <w:szCs w:val="24"/>
        </w:rPr>
        <w:t xml:space="preserve">об осуществлении компетентными органами мероприятий технического (технологического, поверочного) характера по оценке соблюдения правил безопасности проведения занятий физической культурой и спортом в соответствии с Инструкцией о порядке осуществления мероприятий технического (технологического, поверочного) характера, утвержденной постановлением Министерства спорта и туризма Республики Беларусь от 29 апреля 2019 г. № 10;</w:t>
      </w:r>
    </w:p>
    <w:p>
      <w:pPr>
        <w:jc w:val="both"/>
        <w:ind w:left="0" w:right="0" w:firstLine="566.92913385827"/>
        <w:spacing w:after="60"/>
      </w:pPr>
      <w:r>
        <w:rPr>
          <w:sz w:val="24"/>
          <w:szCs w:val="24"/>
        </w:rPr>
        <w:t xml:space="preserve">об обращении в контролирующие (надзорные) органы для проведения проверки организации или индивидуального предпринимателя, в отношении которых получена информация о наличии фактов, соответствующих критериям для лишения государственной аккредитации.</w:t>
      </w:r>
    </w:p>
    <w:p>
      <w:pPr>
        <w:jc w:val="both"/>
        <w:ind w:left="0" w:right="0" w:firstLine="566.92913385827"/>
        <w:spacing w:after="60"/>
      </w:pPr>
      <w:r>
        <w:rPr>
          <w:sz w:val="24"/>
          <w:szCs w:val="24"/>
        </w:rPr>
        <w:t xml:space="preserve">6. Комиссия на основании полученной от уполномоченного органа информации об установлении достоверности фактов, соответствующих критериям для лишения государственной аккредитации, в пятидневный срок с момента получения такой информации выносит заключение:</w:t>
      </w:r>
    </w:p>
    <w:p>
      <w:pPr>
        <w:jc w:val="both"/>
        <w:ind w:left="0" w:right="0" w:firstLine="566.92913385827"/>
        <w:spacing w:after="60"/>
      </w:pPr>
      <w:r>
        <w:rPr>
          <w:sz w:val="24"/>
          <w:szCs w:val="24"/>
        </w:rPr>
        <w:t xml:space="preserve">о наличии оснований для лишения государственной аккредитации со ссылкой на конкретный критерий для лишения государственной аккредитации в случае установления достоверности фактов, соответствующих критериям для лишения государственной аккредитации;</w:t>
      </w:r>
    </w:p>
    <w:p>
      <w:pPr>
        <w:jc w:val="both"/>
        <w:ind w:left="0" w:right="0" w:firstLine="566.92913385827"/>
        <w:spacing w:after="60"/>
      </w:pPr>
      <w:r>
        <w:rPr>
          <w:sz w:val="24"/>
          <w:szCs w:val="24"/>
        </w:rPr>
        <w:t xml:space="preserve">об отсутствии оснований для лишения государственной аккредитации в случае неподтверждения достоверности фактов, соответствующих критериям для лишения государственной аккредитации.</w:t>
      </w:r>
    </w:p>
    <w:p>
      <w:pPr>
        <w:jc w:val="both"/>
        <w:ind w:left="0" w:right="0" w:firstLine="566.92913385827"/>
        <w:spacing w:after="60"/>
      </w:pPr>
      <w:r>
        <w:rPr>
          <w:sz w:val="24"/>
          <w:szCs w:val="24"/>
        </w:rPr>
        <w:t xml:space="preserve">7. Заключение, указанное в пункте 6 настоящей Инструкции, оформляется протоколом, подписанным председателем комиссии.</w:t>
      </w:r>
    </w:p>
    <w:p>
      <w:pPr>
        <w:jc w:val="both"/>
        <w:ind w:left="0" w:right="0" w:firstLine="566.92913385827"/>
        <w:spacing w:after="60"/>
      </w:pPr>
      <w:r>
        <w:rPr>
          <w:sz w:val="24"/>
          <w:szCs w:val="24"/>
        </w:rPr>
        <w:t xml:space="preserve">8. Решение о лишении государственной аккредитации (далее – решение) принимается уполномоченным органом на основании заключения комиссии о наличии оснований для лишения государственной аккредитации в пятидневный срок со дня получения соответствующего заключения и вступает в силу через десять дней с момента его принятия.</w:t>
      </w:r>
    </w:p>
    <w:p>
      <w:pPr>
        <w:jc w:val="both"/>
        <w:ind w:left="0" w:right="0" w:firstLine="566.92913385827"/>
        <w:spacing w:after="60"/>
      </w:pPr>
      <w:r>
        <w:rPr>
          <w:sz w:val="24"/>
          <w:szCs w:val="24"/>
        </w:rPr>
        <w:t xml:space="preserve">9. Копия решения в течение трех рабочих дней после его принятия направляется лишенным государственной аккредитации организации или индивидуальному предпринимателю по почте по последнему известному уполномоченному органу месту нахождения (почтовому адресу) организации или месту жительства (почтовому адресу) индивидуального предпринимателя, лишенных государственной аккредитации.</w:t>
      </w:r>
    </w:p>
    <w:p>
      <w:pPr>
        <w:jc w:val="both"/>
        <w:ind w:left="0" w:right="0" w:firstLine="566.92913385827"/>
        <w:spacing w:after="60"/>
      </w:pPr>
      <w:r>
        <w:rPr>
          <w:sz w:val="24"/>
          <w:szCs w:val="24"/>
        </w:rPr>
        <w:t xml:space="preserve">Копия решения считается полученной организацией или индивидуальным предпринимателем, лишенными государственной аккредитации, по истечении трех рабочих дней со дня ее направления.</w:t>
      </w:r>
    </w:p>
    <w:p>
      <w:pPr>
        <w:jc w:val="both"/>
        <w:ind w:left="0" w:right="0" w:firstLine="566.92913385827"/>
        <w:spacing w:after="60"/>
      </w:pPr>
      <w:r>
        <w:rPr>
          <w:sz w:val="24"/>
          <w:szCs w:val="24"/>
        </w:rPr>
        <w:t xml:space="preserve">10. Сертификат о государственной аккредитации на право осуществления деятельности по развитию физической культуры и спорта подлежит возврату в уполномоченный орган лишенными государственной аккредитации организацией или индивидуальным предпринимателем в десятидневный срок со дня получения решения.</w:t>
      </w:r>
    </w:p>
    <w:p>
      <w:pPr>
        <w:jc w:val="both"/>
        <w:ind w:left="0" w:right="0" w:firstLine="566.92913385827"/>
        <w:spacing w:after="60"/>
      </w:pPr>
      <w:r>
        <w:rPr>
          <w:sz w:val="24"/>
          <w:szCs w:val="24"/>
        </w:rPr>
        <w:t xml:space="preserve">11. Решение уполномоченного органа может быть обжаловано в судебном порядке.</w:t>
      </w:r>
    </w:p>
    <w:p>
      <w:pPr>
        <w:jc w:val="both"/>
        <w:ind w:left="0" w:right="0" w:firstLine="566.92913385827"/>
        <w:spacing w:after="60"/>
      </w:pPr>
      <w:r>
        <w:rPr>
          <w:sz w:val="24"/>
          <w:szCs w:val="24"/>
        </w:rPr>
        <w:t xml:space="preserve">12. Уполномоченные органы, за исключением Министерства спорта и туризма, информируют Министерство спорта и туризма о лишенных государственной аккредитации организациях и индивидуальных предпринимателях в пятидневный срок со дня принятия соответствующих решений.</w:t>
      </w:r>
    </w:p>
    <w:p>
      <w:pPr>
        <w:jc w:val="both"/>
        <w:ind w:left="0" w:right="0" w:firstLine="566.92913385827"/>
        <w:spacing w:after="60"/>
      </w:pPr>
      <w:r>
        <w:rPr>
          <w:sz w:val="24"/>
          <w:szCs w:val="24"/>
        </w:rPr>
        <w:t xml:space="preserve">Министерство спорта и туризма размещает информацию о лишенных государственной аккредитации организациях и индивидуальных предпринимателях на своем официальном сайте в глобальной компьютерной сети Интернет.</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2023-07-31T15:53:05+03:00</dcterms:created>
  <dcterms:modified xsi:type="dcterms:W3CDTF">2023-07-31T15:53:05+03:00</dcterms:modified>
</cp:coreProperties>
</file>

<file path=docProps/custom.xml><?xml version="1.0" encoding="utf-8"?>
<Properties xmlns="http://schemas.openxmlformats.org/officeDocument/2006/custom-properties" xmlns:vt="http://schemas.openxmlformats.org/officeDocument/2006/docPropsVTypes"/>
</file>