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695F3" w14:textId="725B002A" w:rsidR="00F02C62" w:rsidRPr="00F02C62" w:rsidRDefault="00F02C62" w:rsidP="00F02C62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sz w:val="28"/>
          <w:szCs w:val="28"/>
          <w:lang w:val="ru-BY"/>
        </w:rPr>
        <w:t>Исполнение бюджета города Бобруйска за 2023 год</w:t>
      </w:r>
    </w:p>
    <w:p w14:paraId="7441DFDB" w14:textId="77777777" w:rsid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14:paraId="0C32CD71" w14:textId="33DB0454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За 2023 год организациями, индивидуальными предпринимателями и физическими лицами города в бюджеты всех уровней (республиканский, областной, городской) уплачено 441 157,6 тыс. рублей налоговых и неналоговых платежей, из которых в городской бюджет зачислено 42,2 % (185 984,0 тыс. рублей).</w:t>
      </w:r>
    </w:p>
    <w:p w14:paraId="140012C3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sz w:val="28"/>
          <w:szCs w:val="28"/>
          <w:lang w:val="ru-BY"/>
        </w:rPr>
        <w:t>Объем доходов бюджета города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 с учетом безвозмездно полученных из вышестоящего бюджета средств составил в 2023 году 460 940,4 тыс. рублей, в том числе:</w:t>
      </w:r>
    </w:p>
    <w:p w14:paraId="61DC8AD8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собственные доходы (налоговые и неналоговые платежи) – 185 984,0 тыс. рублей или 40,3 % общего объема;</w:t>
      </w:r>
    </w:p>
    <w:p w14:paraId="64C76FA9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дотация из областного бюджета – 221 249,6 тыс. рублей или 48,0 % общего объема;</w:t>
      </w:r>
    </w:p>
    <w:p w14:paraId="52139583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прочие безвозмездные поступления – 53 706,8 тыс. рублей или 11,7 % общего объема.</w:t>
      </w:r>
    </w:p>
    <w:p w14:paraId="545BAABD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i/>
          <w:iCs/>
          <w:sz w:val="28"/>
          <w:szCs w:val="28"/>
          <w:lang w:val="ru-BY"/>
        </w:rPr>
        <w:t>Налоговыми платежами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 сформировано 86,8 % собственных доходов бюджета города (161 479,5 тыс. рублей с ростом 116,5 % к 2022 году), в том числе за счет:</w:t>
      </w:r>
    </w:p>
    <w:p w14:paraId="5BB200E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подоходного налога – 42,8 % (79 580,9 тыс. рублей; рост 125,9 %);</w:t>
      </w:r>
    </w:p>
    <w:p w14:paraId="56DA965B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отчислений от налога на добавленную стоимость – 24,9 % (46 361,9 тыс. рублей; рост 119,8 %);</w:t>
      </w:r>
    </w:p>
    <w:p w14:paraId="1AC7107B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налога на недвижимость 6,2 % (11 455,4 тыс. рублей; рост 131,3%);</w:t>
      </w:r>
    </w:p>
    <w:p w14:paraId="61CFF5FB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земельного налога – 4,8 % (8 914,1 тыс. рублей; рост 104,5 %);</w:t>
      </w:r>
    </w:p>
    <w:p w14:paraId="021C79FA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налога при упрощенной системе налогообложения – 4,6 % (8 629,4 тыс. рублей; 65,2 % к уровню прошлого года);</w:t>
      </w:r>
    </w:p>
    <w:p w14:paraId="19800C7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единого налога с индивидуальных предпринимателей и иных физических лиц – 2,2 % (4 090,2 тыс. рублей; рост 110,3 %).</w:t>
      </w:r>
    </w:p>
    <w:p w14:paraId="606BF8B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i/>
          <w:iCs/>
          <w:sz w:val="28"/>
          <w:szCs w:val="28"/>
          <w:lang w:val="ru-BY"/>
        </w:rPr>
        <w:t>Неналоговые платежи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 составили 13,2 % собственных доходов бюджета города или 24 504,5 тыс. рублей (рост 115,1 % к 2022 году), из них:</w:t>
      </w:r>
    </w:p>
    <w:p w14:paraId="29327FF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компенсации расходов государства (плата за питание детей в детских садах и школах, плата за дополнительное образование в школах искусств, возмещение расходов обязанными лицами, возмещение коммунальных расходов и другие платежи) – 9 993,3 тыс. рублей (рост 138,6 %);</w:t>
      </w:r>
    </w:p>
    <w:p w14:paraId="11650D7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lastRenderedPageBreak/>
        <w:t>доходы от продажи и сдачи в аренду имущества (включая средства от приватизации жилья) – 4 847,8 тыс. рублей (рост 102,8 %);</w:t>
      </w:r>
    </w:p>
    <w:p w14:paraId="6CC3428F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доходы от продажи и сдачи в аренду земельных участков – 2 967,6 тыс. рублей (рост 104,7 %);</w:t>
      </w:r>
    </w:p>
    <w:p w14:paraId="19DD5319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дивиденды на доли (акции), находящиеся в собственности города, и перечисление части прибыли унитарными коммунальными предприятиями – 1 789,0 тыс. рублей (рост 105,1 %);</w:t>
      </w:r>
    </w:p>
    <w:p w14:paraId="5AC9B654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штрафы, удержания – 1 085,8 тыс. рублей (58,7 % к 2022 году);</w:t>
      </w:r>
    </w:p>
    <w:p w14:paraId="0764A2F7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плата за размещение средств наружной рекламы – 1 064,4 тыс. рублей (рост 104,2 %).</w:t>
      </w:r>
    </w:p>
    <w:p w14:paraId="3ACC872B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br/>
        <w:t> </w:t>
      </w:r>
    </w:p>
    <w:p w14:paraId="536A4141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sz w:val="28"/>
          <w:szCs w:val="28"/>
          <w:lang w:val="ru-BY"/>
        </w:rPr>
        <w:t>Расходы бюджета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 за 2023 год профинансированы в сумме 455 552,4 тыс. рублей.</w:t>
      </w:r>
    </w:p>
    <w:p w14:paraId="2E564324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i/>
          <w:iCs/>
          <w:sz w:val="28"/>
          <w:szCs w:val="28"/>
          <w:lang w:val="ru-BY"/>
        </w:rPr>
        <w:t>На отрасли хозяйства 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направлено 15,2 % всех расходов бюджета или 69 316,9 тыс. рублей.</w:t>
      </w:r>
    </w:p>
    <w:p w14:paraId="3E5A7E77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Расходы на жилищно-коммунальные услуги и жилищное строительство составили 58 960,0 тыс. рублей (12,9 % расходов бюджета), из них:</w:t>
      </w:r>
    </w:p>
    <w:p w14:paraId="30B27286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благоустройство города (освещение, содержание и ремонт улично-дорожной сети, придомовых территорий, иных объектов благоустройства, и другие расходы) – 26 561,7 тыс. рублей (45,1 % в расходах на отрасль ЖКХ);</w:t>
      </w:r>
    </w:p>
    <w:p w14:paraId="48E0499C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текущий и капитальный ремонт жилищного фонда, включая замену лифтов в жилых домах – 18 911,25 тыс. рублей (32,1 % в расходах на отрасль ЖКХ);</w:t>
      </w:r>
    </w:p>
    <w:p w14:paraId="5F74B1B9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ремонт и модернизация тепловых сетей – 1 704,0 тыс. рублей (2,9 % в расходах на отрасль ЖКХ);</w:t>
      </w:r>
    </w:p>
    <w:p w14:paraId="1AD2EE0F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возмещение расходов, связанных с оказанием жилищно-коммунальных услуг населению, включая предоставление льгот отдельным категориям граждан – 4 629,9 тыс. рублей (7,9 % в расходах на отрасль ЖКХ);</w:t>
      </w:r>
    </w:p>
    <w:p w14:paraId="290385D9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жилищное строительство – 6 830,8 тыс. рублей (11,6 % расходах на отрасль ЖКХ).</w:t>
      </w:r>
    </w:p>
    <w:p w14:paraId="0732ABDA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На расходы по субсидированию перевозок пассажиров общественным транспортом в городском сообщении выделено 8 444,5 тыс. рублей; на расходы, связанные с обеспечением населения твердыми видами топлива, – 1 114,1 тыс. рублей.</w:t>
      </w:r>
    </w:p>
    <w:p w14:paraId="3DF791C1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b/>
          <w:bCs/>
          <w:i/>
          <w:iCs/>
          <w:sz w:val="28"/>
          <w:szCs w:val="28"/>
          <w:lang w:val="ru-BY"/>
        </w:rPr>
        <w:lastRenderedPageBreak/>
        <w:t>На социальную сферу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t> приходится 79,9 % всех расходов или 363 984,9 тыс. рублей.</w:t>
      </w:r>
    </w:p>
    <w:p w14:paraId="5D9F5E7F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Расходы на здравоохранение составили 174 620,0 тыс. рублей (38,3 % расходов бюджета), образование – 153 593,5 тыс. рублей (33,7 %), социальную политику – 15 912,9 тыс. рублей (3,5 %), физическую культуру и спорт – 13 329,1 тыс. рублей (2,9 %), культуру – 6 161,6 тыс. рублей (1,4 %), средства массовой информации – 367,8 тыс. рублей (0,1 %).</w:t>
      </w:r>
    </w:p>
    <w:p w14:paraId="45F90F9E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Исполнение бюджета осуществлялось в приоритетном порядке по первоочередным статьям расходов. Их удельный вес составил 79,1 % или 360 527,7 тыс. рублей. На заработную плату и отчисления на социальное страхование направлено 266 454,6 тыс. рублей (58,5 % расходов бюджета), питание – 15 546,3 тыс. рублей (3,4 %), лекарственные средства и изделия медицинского назначения – 17 552,9 тыс. рублей (3,9 %), оплату коммунальных услуг – 23 859,0 тыс. рублей (5,2 %), текущие трансферты населению (расходы на бесплатное и льготное предоставление лекарственных средств и изделий медицинского назначения, расходы на бесплатное зубопротезирование, приобретение технических средств социальной реабилитации, адресная социальная помощь, пособия на детей-сирот, расходы на обеспечение бесплатным питанием дет</w:t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softHyphen/>
        <w:t>ей в возрасте до двух лет и другие) – 21 194,1 тыс. рублей (4,7 %).</w:t>
      </w:r>
    </w:p>
    <w:p w14:paraId="7ED9064C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На финансирование 16 государственных программ израсходовано 433 532,7 тыс. рублей или 95,2 % объема бюджета, из них на:</w:t>
      </w:r>
    </w:p>
    <w:p w14:paraId="66D39302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«Здоровье народа и демографическая безопасность Республики Беларусь» на 2021-2025 годы – 175 100,0 тыс. рублей (38,4 %);</w:t>
      </w:r>
    </w:p>
    <w:p w14:paraId="5DBBA83D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«Образование и молодежная политика» на 2021-2025 годы – 155 894,0 тыс. рублей (34,2 %);</w:t>
      </w:r>
    </w:p>
    <w:p w14:paraId="03321750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Государственную программу «Комфортное жилье и благоприятная среда» на 2021-2025 годы – 49 857,1 тыс. рублей (10,9 %).</w:t>
      </w:r>
    </w:p>
    <w:p w14:paraId="33B501CC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Бюджетными учреждениями города от приносящей доходы деятельности (оказания платных услуг) получено 13 788,1 тыс. рублей.</w:t>
      </w:r>
    </w:p>
    <w:p w14:paraId="4212CF9F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Долг органов местного управления и самоуправления по облигационным займам, выпущенным Бобруйским городским исполнительным комитетом, составил 13 000,0 тыс. рублей.</w:t>
      </w:r>
    </w:p>
    <w:p w14:paraId="66B3CF71" w14:textId="61737618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29E602AB" wp14:editId="720925F2">
            <wp:extent cx="5940425" cy="4458335"/>
            <wp:effectExtent l="0" t="0" r="3175" b="0"/>
            <wp:docPr id="14379114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78011250" wp14:editId="03265EA2">
            <wp:extent cx="5940425" cy="4455160"/>
            <wp:effectExtent l="0" t="0" r="3175" b="2540"/>
            <wp:docPr id="1098436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5C28901B" wp14:editId="21BDA317">
            <wp:extent cx="5940425" cy="4458335"/>
            <wp:effectExtent l="0" t="0" r="3175" b="0"/>
            <wp:docPr id="19571096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1B2D3E31" wp14:editId="73EB3783">
            <wp:extent cx="5940425" cy="4458335"/>
            <wp:effectExtent l="0" t="0" r="3175" b="0"/>
            <wp:docPr id="19649612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31B7A43C" wp14:editId="7259A3BB">
            <wp:extent cx="5940425" cy="4453890"/>
            <wp:effectExtent l="0" t="0" r="3175" b="3810"/>
            <wp:docPr id="6105234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6D2461BE" wp14:editId="339EE8E7">
            <wp:extent cx="5940425" cy="4458335"/>
            <wp:effectExtent l="0" t="0" r="3175" b="0"/>
            <wp:docPr id="269741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2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27C6AEF6" wp14:editId="7E44E1FF">
            <wp:extent cx="5940425" cy="4458335"/>
            <wp:effectExtent l="0" t="0" r="3175" b="0"/>
            <wp:docPr id="17046916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033C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Финансовое управление</w:t>
      </w:r>
    </w:p>
    <w:p w14:paraId="35CADED4" w14:textId="77777777" w:rsidR="00F02C62" w:rsidRPr="00F02C62" w:rsidRDefault="00F02C62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F02C62">
        <w:rPr>
          <w:rFonts w:ascii="Times New Roman" w:hAnsi="Times New Roman" w:cs="Times New Roman"/>
          <w:sz w:val="28"/>
          <w:szCs w:val="28"/>
          <w:lang w:val="ru-BY"/>
        </w:rPr>
        <w:t>Бобруйского горисполкома</w:t>
      </w:r>
    </w:p>
    <w:p w14:paraId="79FB99C3" w14:textId="77777777" w:rsidR="00AA0986" w:rsidRPr="00F02C62" w:rsidRDefault="00AA0986" w:rsidP="00F02C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A0986" w:rsidRPr="00F02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B3E77"/>
    <w:multiLevelType w:val="multilevel"/>
    <w:tmpl w:val="40905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5242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C62"/>
    <w:rsid w:val="00184B9C"/>
    <w:rsid w:val="001D626E"/>
    <w:rsid w:val="0072300B"/>
    <w:rsid w:val="00913690"/>
    <w:rsid w:val="00AA0986"/>
    <w:rsid w:val="00DE1515"/>
    <w:rsid w:val="00F02C62"/>
    <w:rsid w:val="00F75EB8"/>
    <w:rsid w:val="00FA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C9D5"/>
  <w15:chartTrackingRefBased/>
  <w15:docId w15:val="{C58ACC01-9179-4E21-8653-2DD04CC6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C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2C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2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2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2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C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02C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2C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02C6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02C6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02C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02C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02C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02C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2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02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2C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02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02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02C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02C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02C6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02C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02C6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02C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851</Words>
  <Characters>4853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Радькова Галина Дмитриевна</dc:creator>
  <cp:keywords/>
  <dc:description/>
  <cp:lastModifiedBy>Радькова Галина Дмитриевна</cp:lastModifiedBy>
  <cp:revision>1</cp:revision>
  <dcterms:created xsi:type="dcterms:W3CDTF">2025-01-15T12:33:00Z</dcterms:created>
  <dcterms:modified xsi:type="dcterms:W3CDTF">2025-01-15T12:34:00Z</dcterms:modified>
</cp:coreProperties>
</file>